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bCs/>
          <w:sz w:val="22"/>
          <w:szCs w:val="22"/>
        </w:rPr>
      </w:pPr>
      <w:r>
        <w:rPr>
          <w:rFonts w:cs="Arial" w:ascii="Arial" w:hAnsi="Arial"/>
          <w:b/>
          <w:bCs/>
          <w:sz w:val="22"/>
          <w:szCs w:val="22"/>
        </w:rPr>
        <w:t>EL SECRETARIO DE DESPACHO</w:t>
      </w:r>
    </w:p>
    <w:p>
      <w:pPr>
        <w:pStyle w:val="Normal"/>
        <w:spacing w:lineRule="auto" w:line="360"/>
        <w:jc w:val="center"/>
        <w:rPr>
          <w:rFonts w:ascii="Arial" w:hAnsi="Arial" w:cs="Arial"/>
          <w:b/>
          <w:b/>
          <w:bCs/>
          <w:sz w:val="22"/>
          <w:szCs w:val="22"/>
        </w:rPr>
      </w:pPr>
      <w:r>
        <w:rPr>
          <w:rFonts w:cs="Arial" w:ascii="Arial" w:hAnsi="Arial"/>
          <w:b/>
          <w:bCs/>
          <w:sz w:val="22"/>
          <w:szCs w:val="22"/>
        </w:rPr>
      </w:r>
    </w:p>
    <w:p>
      <w:pPr>
        <w:pStyle w:val="Normal"/>
        <w:jc w:val="center"/>
        <w:rPr/>
      </w:pPr>
      <w:r>
        <w:rPr>
          <w:rFonts w:cs="Arial" w:ascii="Arial" w:hAnsi="Arial"/>
          <w:sz w:val="22"/>
          <w:szCs w:val="22"/>
        </w:rPr>
        <w:t>En uso de sus facultades legales y en especial las conferidas por el artículo 5 del Decreto Distrital No. 340  del 2020  y el Decreto de Nombramiento No. 001 del 1 de enero de 2020 y,</w:t>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b/>
          <w:b/>
          <w:bCs/>
          <w:sz w:val="22"/>
          <w:szCs w:val="22"/>
        </w:rPr>
      </w:pPr>
      <w:r>
        <w:rPr>
          <w:rFonts w:cs="Arial" w:ascii="Arial" w:hAnsi="Arial"/>
          <w:b/>
          <w:bCs/>
          <w:sz w:val="22"/>
          <w:szCs w:val="22"/>
        </w:rPr>
        <w:t>CONSIDERADO</w:t>
      </w:r>
    </w:p>
    <w:p>
      <w:pPr>
        <w:pStyle w:val="Normal"/>
        <w:jc w:val="cente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Que mediante el Decreto Distrital 197 de 2014, se adoptó la Política Pública Distrital de Servicio a la Ciudadanía en la ciudad de Bogotá, D. C., en la cual se describen los referentes conceptuales, el enfoque de derechos y los principios generales sobre los que se debe desarrollar dicha política.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Que la Alcaldía Mayor de Bogotá, D. C. expidió el Decreto Distrital 847 de diciembre 30 de 2019, en el que se establecieron y unificaron los lineamientos en materia de servicio a la ciudadanía y de implementación de la Política Pública Distrital de Servicio a la Ciudadanía, de obligatorio cumplimiento para todas las entidades que conforman el Distrito Capital.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Que el artículo 10 del Decreto Distrital 847 de 2019, dispone que las entidades distritales deberán implementar una estrategia de lenguaje claro en todos los canales de interacción, comunicaciones y actos administrativos, para lo cual deben seguir los lineamientos expedidos por la Secretaría General de la Alcaldía Mayor de Bogotá D.C., mediante la Guía de Lenguaje Claro e Incluyente del Distrito Capital.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sz w:val="22"/>
          <w:szCs w:val="22"/>
        </w:rPr>
      </w:pPr>
      <w:r>
        <w:rPr>
          <w:rFonts w:cs="Arial" w:ascii="Arial" w:hAnsi="Arial"/>
          <w:sz w:val="22"/>
          <w:szCs w:val="22"/>
        </w:rPr>
        <w:t xml:space="preserve">Que el artículo 11 del Decreto Distrital 847 de 2019 establece que </w:t>
      </w:r>
      <w:r>
        <w:rPr>
          <w:rFonts w:cs="Arial" w:ascii="Arial" w:hAnsi="Arial"/>
          <w:i/>
          <w:iCs/>
          <w:sz w:val="22"/>
          <w:szCs w:val="22"/>
        </w:rPr>
        <w:t>“Las entidades distritales deberán adoptar el modelo de seguimiento, medición y evaluación del servicio a la ciudadanía que diseñe la Secretaría General de la Alcaldía Mayor de Bogotá, D.C., en el marco de implementación de la Política Pública Distrital de Servicio a la Ciudadanía”.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sz w:val="22"/>
          <w:szCs w:val="22"/>
        </w:rPr>
      </w:pPr>
      <w:r>
        <w:rPr>
          <w:rFonts w:cs="Arial" w:ascii="Arial" w:hAnsi="Arial"/>
          <w:sz w:val="22"/>
          <w:szCs w:val="22"/>
        </w:rPr>
        <w:t xml:space="preserve">Que el artículo 12 ibidem, parágrafo 1, establece que </w:t>
      </w:r>
      <w:r>
        <w:rPr>
          <w:rFonts w:cs="Arial" w:ascii="Arial" w:hAnsi="Arial"/>
          <w:i/>
          <w:iCs/>
          <w:sz w:val="22"/>
          <w:szCs w:val="22"/>
        </w:rPr>
        <w:t>“Cada entidad distrital deberá adoptar los lineamientos del Manual de Servicio a la Ciudadanía del Distrito Capital, expedido por la Secretaría General de la Alcaldía Mayor de Bogotá D.C., o deberá contar con un manual de servicio en el que se definan los lineamientos para la atención a la ciudadanía homologado con el anterior.”</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sz w:val="22"/>
          <w:szCs w:val="22"/>
        </w:rPr>
      </w:pPr>
      <w:r>
        <w:rPr>
          <w:rFonts w:cs="Arial" w:ascii="Arial" w:hAnsi="Arial"/>
          <w:sz w:val="22"/>
          <w:szCs w:val="22"/>
        </w:rPr>
        <w:t xml:space="preserve">Que el artículo 15 ejúsdem, determina que </w:t>
      </w:r>
      <w:r>
        <w:rPr>
          <w:rFonts w:cs="Arial" w:ascii="Arial" w:hAnsi="Arial"/>
          <w:i/>
          <w:iCs/>
          <w:sz w:val="22"/>
          <w:szCs w:val="22"/>
        </w:rPr>
        <w:t>“Todas las entidades distritales deberán adoptar como única herramienta, el Sistema Distrital para la Gestión de Peticiones Ciudadanas, con observancia de las reglas contenidas en el Manual para la Gestión de Peticiones Ciudadanas que para el efecto defina la Secretaría General de  la Alcaldía Mayor de Bogotá, D. C., que deberá ser incorporado dentro del reglamento interno de peticiones ciudadanas de cada entidad, sin perjuicio de lo dispuesto en el artículo 22 de la Ley 1437 de 2011, sustituido por el artículo 1 de la Ley 1755 de 2015.”</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De conformidad con lo señalado en el numeral 8, artículo 8 de la Ley 1437 de 2011, el proyecto será publicado </w:t>
      </w:r>
      <w:r>
        <w:rPr>
          <w:rFonts w:cs="Arial" w:ascii="Arial" w:hAnsi="Arial"/>
          <w:b/>
          <w:bCs/>
          <w:sz w:val="22"/>
          <w:szCs w:val="22"/>
          <w:u w:val="single"/>
        </w:rPr>
        <w:t xml:space="preserve">desde el día </w:t>
      </w:r>
      <w:r>
        <w:rPr>
          <w:rFonts w:eastAsia="Times New Roman" w:cs="Arial" w:ascii="Arial" w:hAnsi="Arial"/>
          <w:b/>
          <w:bCs/>
          <w:color w:val="00000A"/>
          <w:sz w:val="22"/>
          <w:szCs w:val="22"/>
          <w:u w:val="single"/>
          <w:lang w:val="es-ES" w:bidi="es-ES"/>
        </w:rPr>
        <w:t>23</w:t>
      </w:r>
      <w:r>
        <w:rPr>
          <w:rFonts w:cs="Arial" w:ascii="Arial" w:hAnsi="Arial"/>
          <w:b/>
          <w:bCs/>
          <w:sz w:val="22"/>
          <w:szCs w:val="22"/>
          <w:u w:val="single"/>
        </w:rPr>
        <w:t xml:space="preserve"> </w:t>
      </w:r>
      <w:r>
        <w:rPr>
          <w:rFonts w:cs="Arial" w:ascii="Arial" w:hAnsi="Arial"/>
          <w:b/>
          <w:bCs/>
          <w:sz w:val="22"/>
          <w:szCs w:val="22"/>
          <w:u w:val="single"/>
        </w:rPr>
        <w:t xml:space="preserve">de agosto de 2021 </w:t>
      </w:r>
      <w:r>
        <w:rPr>
          <w:rFonts w:cs="Arial" w:ascii="Arial" w:hAnsi="Arial"/>
          <w:b/>
          <w:bCs/>
          <w:sz w:val="22"/>
          <w:szCs w:val="22"/>
          <w:u w:val="single"/>
        </w:rPr>
        <w:t xml:space="preserve">hasta el día </w:t>
      </w:r>
      <w:r>
        <w:rPr>
          <w:rFonts w:eastAsia="Times New Roman" w:cs="Arial" w:ascii="Arial" w:hAnsi="Arial"/>
          <w:b/>
          <w:bCs/>
          <w:color w:val="00000A"/>
          <w:sz w:val="22"/>
          <w:szCs w:val="22"/>
          <w:u w:val="single"/>
          <w:lang w:val="es-ES" w:bidi="es-ES"/>
        </w:rPr>
        <w:t>27</w:t>
      </w:r>
      <w:r>
        <w:rPr>
          <w:rFonts w:cs="Arial" w:ascii="Arial" w:hAnsi="Arial"/>
          <w:b/>
          <w:bCs/>
          <w:sz w:val="22"/>
          <w:szCs w:val="22"/>
          <w:u w:val="single"/>
        </w:rPr>
        <w:t xml:space="preserve"> de agosto de 2021</w:t>
      </w:r>
      <w:r>
        <w:rPr>
          <w:rFonts w:cs="Arial" w:ascii="Arial" w:hAnsi="Arial"/>
          <w:sz w:val="22"/>
          <w:szCs w:val="22"/>
        </w:rPr>
        <w:t xml:space="preserve">, con el fin de recibir opiniones, sugerencias o propuestas alternativas. Para su consulta y observaciones ingresar a:  </w:t>
      </w:r>
      <w:r>
        <w:fldChar w:fldCharType="begin"/>
      </w:r>
      <w:r>
        <w:rPr>
          <w:rStyle w:val="EnlacedeInternet"/>
          <w:sz w:val="22"/>
          <w:szCs w:val="22"/>
          <w:highlight w:val="white"/>
          <w:rFonts w:cs="Arial" w:ascii="Arial" w:hAnsi="Arial"/>
        </w:rPr>
        <w:instrText> HYPERLINK "https://legalbog.secretariajuridica.gov.co/regimen-legal-publico" \l "/acto-admin-publico"</w:instrText>
      </w:r>
      <w:r>
        <w:rPr>
          <w:rStyle w:val="EnlacedeInternet"/>
          <w:sz w:val="22"/>
          <w:szCs w:val="22"/>
          <w:highlight w:val="white"/>
          <w:rFonts w:cs="Arial" w:ascii="Arial" w:hAnsi="Arial"/>
        </w:rPr>
        <w:fldChar w:fldCharType="separate"/>
      </w:r>
      <w:r>
        <w:rPr>
          <w:rStyle w:val="EnlacedeInternet"/>
          <w:rFonts w:cs="Arial" w:ascii="Arial" w:hAnsi="Arial"/>
          <w:color w:val="auto"/>
          <w:sz w:val="22"/>
          <w:szCs w:val="22"/>
          <w:highlight w:val="white"/>
        </w:rPr>
        <w:t>https://legalbog.secretariajuridica.gov.co/regimen-legal-publico#/acto-admin-publico</w:t>
      </w:r>
      <w:r>
        <w:rPr>
          <w:rStyle w:val="EnlacedeInternet"/>
          <w:sz w:val="22"/>
          <w:szCs w:val="22"/>
          <w:highlight w:val="white"/>
          <w:rFonts w:cs="Arial" w:ascii="Arial" w:hAnsi="Arial"/>
        </w:rPr>
        <w:fldChar w:fldCharType="end"/>
      </w:r>
      <w:r>
        <w:rPr>
          <w:rStyle w:val="EnlacedeInternet"/>
          <w:rFonts w:cs="Arial" w:ascii="Arial" w:hAnsi="Arial"/>
          <w:color w:val="auto"/>
          <w:sz w:val="22"/>
          <w:szCs w:val="22"/>
          <w:highlight w:val="white"/>
        </w:rPr>
        <w:t>.</w:t>
      </w:r>
      <w:r>
        <w:rPr>
          <w:rFonts w:cs="Arial" w:ascii="Arial" w:hAnsi="Arial"/>
          <w:sz w:val="22"/>
          <w:szCs w:val="22"/>
          <w:highlight w:val="white"/>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En mérito de lo expuesto,</w:t>
      </w:r>
    </w:p>
    <w:p>
      <w:pPr>
        <w:pStyle w:val="Normal"/>
        <w:jc w:val="center"/>
        <w:rPr>
          <w:rFonts w:ascii="Arial" w:hAnsi="Arial" w:cs="Arial"/>
          <w:sz w:val="22"/>
          <w:szCs w:val="22"/>
        </w:rPr>
      </w:pPr>
      <w:r>
        <w:rPr>
          <w:rFonts w:cs="Arial" w:ascii="Arial" w:hAnsi="Arial"/>
          <w:b/>
          <w:bCs/>
          <w:sz w:val="22"/>
          <w:szCs w:val="22"/>
        </w:rPr>
        <w:t>RESUELVE:</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Artículo 1º. Objeto</w:t>
      </w:r>
      <w:r>
        <w:rPr>
          <w:rFonts w:cs="Arial" w:ascii="Arial" w:hAnsi="Arial"/>
          <w:sz w:val="22"/>
          <w:szCs w:val="22"/>
        </w:rPr>
        <w:t>. Los lineamientos que se adoptan</w:t>
      </w:r>
      <w:r>
        <w:rPr>
          <w:rFonts w:cs="Arial" w:ascii="Arial" w:hAnsi="Arial"/>
          <w:color w:val="000000"/>
          <w:sz w:val="22"/>
          <w:szCs w:val="22"/>
        </w:rPr>
        <w:t xml:space="preserve"> a</w:t>
      </w:r>
      <w:r>
        <w:rPr>
          <w:rFonts w:cs="Arial" w:ascii="Arial" w:hAnsi="Arial"/>
          <w:sz w:val="22"/>
          <w:szCs w:val="22"/>
        </w:rPr>
        <w:t xml:space="preserve"> través de esta resolución, son la guía para los servidores públicos y contratistas vinculados a la Secretaría Distrital de Cultura, Recreación y Deporte sobre la manera de lograr que la ciudadanía reciba un servicio oportuno, eficaz, eficiente, transparente, digno, igualitario y de la mayor calidad, a través de los canales de atención presencial, telefónico, escrito y virtual.  A saber: </w:t>
      </w:r>
    </w:p>
    <w:p>
      <w:pPr>
        <w:pStyle w:val="Normal"/>
        <w:jc w:val="both"/>
        <w:rPr>
          <w:rFonts w:ascii="Arial" w:hAnsi="Arial" w:cs="Arial"/>
          <w:sz w:val="22"/>
          <w:szCs w:val="22"/>
        </w:rPr>
      </w:pPr>
      <w:r>
        <w:rPr>
          <w:rFonts w:cs="Arial" w:ascii="Arial" w:hAnsi="Arial"/>
          <w:sz w:val="22"/>
          <w:szCs w:val="22"/>
        </w:rPr>
      </w:r>
    </w:p>
    <w:p>
      <w:pPr>
        <w:pStyle w:val="ListParagraph"/>
        <w:numPr>
          <w:ilvl w:val="0"/>
          <w:numId w:val="1"/>
        </w:numPr>
        <w:ind w:left="709" w:hanging="283"/>
        <w:jc w:val="both"/>
        <w:rPr/>
      </w:pPr>
      <w:r>
        <w:rPr>
          <w:rFonts w:cs="Arial" w:ascii="Arial" w:hAnsi="Arial"/>
        </w:rPr>
        <w:t xml:space="preserve">Los lineamientos </w:t>
      </w:r>
      <w:bookmarkStart w:id="0" w:name="__DdeLink__3096_3367291015"/>
      <w:r>
        <w:rPr>
          <w:rFonts w:cs="Arial" w:ascii="Arial" w:hAnsi="Arial"/>
        </w:rPr>
        <w:t>establecidos en materia de servicio a la ciudadanía mediante el Decreto Distrital  487 de 2019, la norma que lo modifique o sustituya, en el marco de la Política Pública Distrital de Servicio a La Ciudadanía</w:t>
      </w:r>
    </w:p>
    <w:p>
      <w:pPr>
        <w:pStyle w:val="ListParagraph"/>
        <w:numPr>
          <w:ilvl w:val="0"/>
          <w:numId w:val="1"/>
        </w:numPr>
        <w:jc w:val="both"/>
        <w:rPr>
          <w:rFonts w:ascii="Arial" w:hAnsi="Arial" w:cs="Arial"/>
        </w:rPr>
      </w:pPr>
      <w:r>
        <w:rPr>
          <w:rFonts w:cs="Arial" w:ascii="Arial" w:hAnsi="Arial"/>
        </w:rPr>
        <w:t>El Modelo de Seguimiento y Medición a la Calidad del Servicio diseñado por la Secretaría General de la Alcaldía Mayor de Bogotá, D.C.</w:t>
      </w:r>
      <w:bookmarkEnd w:id="0"/>
    </w:p>
    <w:p>
      <w:pPr>
        <w:pStyle w:val="ListParagraph"/>
        <w:numPr>
          <w:ilvl w:val="0"/>
          <w:numId w:val="1"/>
        </w:numPr>
        <w:jc w:val="both"/>
        <w:rPr/>
      </w:pPr>
      <w:r>
        <w:rPr>
          <w:rFonts w:cs="Arial" w:ascii="Arial" w:hAnsi="Arial"/>
        </w:rPr>
        <w:t xml:space="preserve">El Manual de Servicio a la Ciudadanía expedido por la Secretaría General de la Alcaldía Mayor de Bogotá, D.C. </w:t>
      </w:r>
    </w:p>
    <w:p>
      <w:pPr>
        <w:pStyle w:val="ListParagraph"/>
        <w:numPr>
          <w:ilvl w:val="0"/>
          <w:numId w:val="1"/>
        </w:numPr>
        <w:jc w:val="both"/>
        <w:rPr>
          <w:rFonts w:ascii="Arial" w:hAnsi="Arial" w:cs="Arial"/>
        </w:rPr>
      </w:pPr>
      <w:r>
        <w:rPr>
          <w:rFonts w:cs="Arial" w:ascii="Arial" w:hAnsi="Arial"/>
        </w:rPr>
        <w:t>El Manual para la Gestión de Peticiones Ciudadanas expedido por la Secretaría General de la Alcaldía Mayor de Bogotá, D. C.</w:t>
      </w:r>
    </w:p>
    <w:p>
      <w:pPr>
        <w:pStyle w:val="Normal"/>
        <w:jc w:val="both"/>
        <w:rPr>
          <w:rFonts w:ascii="Arial" w:hAnsi="Arial" w:cs="Arial"/>
          <w:b/>
          <w:b/>
          <w:bCs/>
          <w:sz w:val="22"/>
          <w:szCs w:val="22"/>
        </w:rPr>
      </w:pPr>
      <w:r>
        <w:rPr>
          <w:rFonts w:cs="Arial" w:ascii="Arial" w:hAnsi="Arial"/>
          <w:b/>
          <w:bCs/>
          <w:sz w:val="22"/>
          <w:szCs w:val="22"/>
        </w:rPr>
      </w:r>
    </w:p>
    <w:p>
      <w:pPr>
        <w:pStyle w:val="Normal"/>
        <w:jc w:val="both"/>
        <w:rPr/>
      </w:pPr>
      <w:r>
        <w:rPr>
          <w:rFonts w:cs="Arial" w:ascii="Arial" w:hAnsi="Arial"/>
          <w:b/>
          <w:bCs/>
          <w:sz w:val="22"/>
          <w:szCs w:val="22"/>
        </w:rPr>
        <w:t xml:space="preserve">Parágrafo: </w:t>
      </w:r>
      <w:r>
        <w:rPr>
          <w:rFonts w:cs="Arial" w:ascii="Arial" w:hAnsi="Arial"/>
          <w:sz w:val="22"/>
          <w:szCs w:val="22"/>
        </w:rPr>
        <w:t>Los mencionados lineamientos y documentos hacen parte integral de esta resolución.</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Artículo 2º. Divulgación y socialización</w:t>
      </w:r>
      <w:r>
        <w:rPr>
          <w:rFonts w:cs="Arial" w:ascii="Arial" w:hAnsi="Arial"/>
          <w:sz w:val="22"/>
          <w:szCs w:val="22"/>
        </w:rPr>
        <w:t xml:space="preserve">. Los responsables del </w:t>
      </w:r>
      <w:r>
        <w:rPr>
          <w:rFonts w:cs="Arial" w:ascii="Arial" w:hAnsi="Arial"/>
          <w:color w:val="000000"/>
          <w:sz w:val="22"/>
          <w:szCs w:val="22"/>
        </w:rPr>
        <w:t>proceso</w:t>
      </w:r>
      <w:r>
        <w:rPr>
          <w:rFonts w:cs="Arial" w:ascii="Arial" w:hAnsi="Arial"/>
          <w:sz w:val="22"/>
          <w:szCs w:val="22"/>
        </w:rPr>
        <w:t xml:space="preserve"> de “Relación con la Ciudadanía” de la Secretaría Distrital de Cultura, Recreación y Deporte se encargarán de divulgar y socializar en todas las dependencias de la Entidad, la Política Distrital de Servicio a la Ciudadanía y los lineamientos adoptados mediante este acto administrativo.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shd w:fill="FFFFFF" w:val="clear"/>
        </w:rPr>
        <w:t>Artículo 3°. Dirección, Orientación, Coordinación e Implementación de la Política Pública de Servicio a la Ciudadanía</w:t>
      </w:r>
      <w:r>
        <w:rPr>
          <w:rFonts w:cs="Arial" w:ascii="Arial" w:hAnsi="Arial"/>
          <w:b/>
          <w:bCs/>
          <w:sz w:val="22"/>
          <w:szCs w:val="22"/>
          <w:shd w:fill="FFFFFF" w:val="clear"/>
          <w:lang w:val="es-ES_tradnl"/>
        </w:rPr>
        <w:t>.</w:t>
      </w:r>
      <w:r>
        <w:rPr>
          <w:rFonts w:cs="Arial" w:ascii="Arial" w:hAnsi="Arial"/>
          <w:sz w:val="22"/>
          <w:szCs w:val="22"/>
          <w:shd w:fill="FFFFFF" w:val="clear"/>
          <w:lang w:val="es-ES_tradnl"/>
        </w:rPr>
        <w:t xml:space="preserve"> La Dirección de Gestión Corporativa es la encargada de dirigir, orientar </w:t>
      </w:r>
      <w:r>
        <w:rPr>
          <w:rFonts w:cs="Arial" w:ascii="Arial" w:hAnsi="Arial"/>
          <w:color w:val="000000"/>
          <w:sz w:val="22"/>
          <w:szCs w:val="22"/>
          <w:shd w:fill="FFFFFF" w:val="clear"/>
          <w:lang w:val="es-ES_tradnl"/>
        </w:rPr>
        <w:t>coordinar e implementar l</w:t>
      </w:r>
      <w:r>
        <w:rPr>
          <w:rFonts w:cs="Arial" w:ascii="Arial" w:hAnsi="Arial"/>
          <w:sz w:val="22"/>
          <w:szCs w:val="22"/>
          <w:shd w:fill="FFFFFF" w:val="clear"/>
          <w:lang w:val="es-ES_tradnl"/>
        </w:rPr>
        <w:t>as políticas, planes y programas de atención y prestación de los servicios a la ciudadanía, así como la coordinación, desarrollo e implementación del seguimiento y evaluación del servicio prestado a la ciudadanía.</w:t>
      </w:r>
    </w:p>
    <w:p>
      <w:pPr>
        <w:pStyle w:val="Normal"/>
        <w:jc w:val="both"/>
        <w:rPr>
          <w:rFonts w:ascii="Arial" w:hAnsi="Arial" w:cs="Arial"/>
          <w:sz w:val="22"/>
          <w:szCs w:val="22"/>
          <w:highlight w:val="white"/>
          <w:lang w:val="es-ES_tradnl"/>
        </w:rPr>
      </w:pPr>
      <w:r>
        <w:rPr>
          <w:rFonts w:cs="Arial" w:ascii="Arial" w:hAnsi="Arial"/>
          <w:sz w:val="22"/>
          <w:szCs w:val="22"/>
          <w:highlight w:val="white"/>
          <w:lang w:val="es-ES_tradnl"/>
        </w:rPr>
      </w:r>
    </w:p>
    <w:p>
      <w:pPr>
        <w:pStyle w:val="Normal"/>
        <w:jc w:val="both"/>
        <w:rPr/>
      </w:pPr>
      <w:r>
        <w:rPr>
          <w:rFonts w:cs="Arial" w:ascii="Arial" w:hAnsi="Arial"/>
          <w:b/>
          <w:bCs/>
          <w:sz w:val="22"/>
          <w:szCs w:val="22"/>
          <w:shd w:fill="FFFFFF" w:val="clear"/>
        </w:rPr>
        <w:t>Artículo</w:t>
      </w:r>
      <w:r>
        <w:rPr>
          <w:rFonts w:cs="Arial" w:ascii="Arial" w:hAnsi="Arial"/>
          <w:sz w:val="22"/>
          <w:szCs w:val="22"/>
          <w:shd w:fill="FFFFFF" w:val="clear"/>
        </w:rPr>
        <w:t> </w:t>
      </w:r>
      <w:r>
        <w:rPr>
          <w:rFonts w:cs="Arial" w:ascii="Arial" w:hAnsi="Arial"/>
          <w:b/>
          <w:bCs/>
          <w:sz w:val="22"/>
          <w:szCs w:val="22"/>
          <w:shd w:fill="FFFFFF" w:val="clear"/>
        </w:rPr>
        <w:t xml:space="preserve">4°. Responsables de la </w:t>
      </w:r>
      <w:r>
        <w:rPr>
          <w:rFonts w:cs="Arial" w:ascii="Arial" w:hAnsi="Arial"/>
          <w:b/>
          <w:bCs/>
          <w:color w:val="000000"/>
          <w:sz w:val="22"/>
          <w:szCs w:val="22"/>
          <w:shd w:fill="FFFFFF" w:val="clear"/>
        </w:rPr>
        <w:t>implementación</w:t>
      </w:r>
      <w:r>
        <w:rPr>
          <w:rFonts w:cs="Arial" w:ascii="Arial" w:hAnsi="Arial"/>
          <w:b/>
          <w:bCs/>
          <w:sz w:val="22"/>
          <w:szCs w:val="22"/>
          <w:shd w:fill="FFFFFF" w:val="clear"/>
        </w:rPr>
        <w:t xml:space="preserve"> de los lineamientos. </w:t>
      </w:r>
      <w:r>
        <w:rPr>
          <w:rFonts w:cs="Arial" w:ascii="Arial" w:hAnsi="Arial"/>
          <w:sz w:val="22"/>
          <w:szCs w:val="22"/>
          <w:shd w:fill="FFFFFF" w:val="clear"/>
        </w:rPr>
        <w:t>Será responsabilidad de cada uno de las dependencias de la Secretaría Distrital de Cultura,</w:t>
      </w:r>
      <w:r>
        <w:rPr>
          <w:rFonts w:cs="Arial" w:ascii="Arial" w:hAnsi="Arial"/>
          <w:color w:val="auto"/>
          <w:sz w:val="22"/>
          <w:szCs w:val="22"/>
          <w:shd w:fill="FFFFFF" w:val="clear"/>
          <w:lang w:eastAsia="es-CO" w:bidi="ar-SA"/>
        </w:rPr>
        <w:t xml:space="preserve"> </w:t>
      </w:r>
      <w:r>
        <w:rPr>
          <w:rFonts w:cs="Arial" w:ascii="Arial" w:hAnsi="Arial"/>
          <w:sz w:val="22"/>
          <w:szCs w:val="22"/>
          <w:shd w:fill="FFFFFF" w:val="clear"/>
        </w:rPr>
        <w:t>Recreación y Deporte dar cumplimiento a los lineamientos adoptados en el presente documento</w:t>
      </w:r>
      <w:r>
        <w:rPr>
          <w:rFonts w:cs="Arial" w:ascii="Arial" w:hAnsi="Arial"/>
          <w:color w:val="auto"/>
          <w:sz w:val="22"/>
          <w:szCs w:val="22"/>
          <w:shd w:fill="FFFFFF" w:val="clear"/>
          <w:lang w:eastAsia="es-CO" w:bidi="ar-SA"/>
        </w:rPr>
        <w:t>.</w:t>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pPr>
      <w:r>
        <w:rPr>
          <w:rFonts w:cs="Arial" w:ascii="Arial" w:hAnsi="Arial"/>
          <w:b/>
          <w:bCs/>
          <w:sz w:val="22"/>
          <w:szCs w:val="22"/>
          <w:shd w:fill="FFFFFF" w:val="clear"/>
        </w:rPr>
        <w:t>Artículo 5°.  Enfoque de derechos. </w:t>
      </w:r>
      <w:r>
        <w:rPr>
          <w:rFonts w:cs="Arial" w:ascii="Arial" w:hAnsi="Arial"/>
          <w:sz w:val="22"/>
          <w:szCs w:val="22"/>
          <w:shd w:fill="FFFFFF" w:val="clear"/>
        </w:rPr>
        <w:t xml:space="preserve">La Política de Servicio a la Ciudadanía, se enfoca en garantizar la calidad y oportunidad en la atención, los servicios y trámites para la ciudadanía, incorporando enfoques diferenciales (poblacional, de género y de derechos humanos). </w:t>
      </w:r>
      <w:r>
        <w:rPr>
          <w:rFonts w:cs="Arial" w:ascii="Arial" w:hAnsi="Arial"/>
          <w:sz w:val="22"/>
          <w:szCs w:val="22"/>
          <w:highlight w:val="white"/>
        </w:rPr>
        <w:t xml:space="preserve">Así mismo, la interlocución y comunicación efectivas entre la administración y el ciudadano, posibilitando la creación de mecanismos de participación y coordinación con diferentes instancias de gobierno de conformidad con el Plan de Desarrollo vigente, de acuerdo con lo establecido en el artículo 4 del Decreto Distrital 197 de 2014. </w:t>
      </w:r>
    </w:p>
    <w:p>
      <w:pPr>
        <w:pStyle w:val="Normal"/>
        <w:jc w:val="both"/>
        <w:rPr>
          <w:rFonts w:ascii="Arial" w:hAnsi="Arial" w:cs="Arial"/>
          <w:b/>
          <w:b/>
          <w:bCs/>
          <w:sz w:val="22"/>
          <w:szCs w:val="22"/>
        </w:rPr>
      </w:pPr>
      <w:r>
        <w:rPr>
          <w:rFonts w:cs="Arial" w:ascii="Arial" w:hAnsi="Arial"/>
          <w:b/>
          <w:bCs/>
          <w:sz w:val="22"/>
          <w:szCs w:val="22"/>
        </w:rPr>
      </w:r>
    </w:p>
    <w:p>
      <w:pPr>
        <w:pStyle w:val="Normal"/>
        <w:jc w:val="both"/>
        <w:rPr/>
      </w:pPr>
      <w:r>
        <w:rPr>
          <w:rFonts w:cs="Arial" w:ascii="Arial" w:hAnsi="Arial"/>
          <w:b/>
          <w:bCs/>
          <w:sz w:val="22"/>
          <w:szCs w:val="22"/>
        </w:rPr>
        <w:t>Artículo 6°. Vigencia</w:t>
      </w:r>
      <w:r>
        <w:rPr>
          <w:rFonts w:cs="Arial" w:ascii="Arial" w:hAnsi="Arial"/>
          <w:sz w:val="22"/>
          <w:szCs w:val="22"/>
        </w:rPr>
        <w:t>. La presente resolución rige a partir de la fecha de su publicación.</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t>PUBLÍQUESE, COMUNÍQUESE Y CÚMPLASE.</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NICOLAS FRANCISCO MONTERO DOMÍNGUEZ</w:t>
      </w:r>
    </w:p>
    <w:p>
      <w:pPr>
        <w:pStyle w:val="Normal"/>
        <w:jc w:val="center"/>
        <w:rPr>
          <w:rFonts w:ascii="Arial" w:hAnsi="Arial" w:cs="Arial"/>
          <w:sz w:val="22"/>
          <w:szCs w:val="22"/>
        </w:rPr>
      </w:pPr>
      <w:r>
        <w:rPr>
          <w:rFonts w:cs="Arial" w:ascii="Arial" w:hAnsi="Arial"/>
          <w:sz w:val="22"/>
          <w:szCs w:val="22"/>
        </w:rPr>
        <w:t>Secretario de Despacho</w:t>
      </w:r>
    </w:p>
    <w:p>
      <w:pPr>
        <w:pStyle w:val="Normal"/>
        <w:jc w:val="cente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16"/>
          <w:szCs w:val="16"/>
        </w:rPr>
      </w:pPr>
      <w:r>
        <w:rPr>
          <w:rFonts w:cs="Arial" w:ascii="Arial" w:hAnsi="Arial"/>
          <w:sz w:val="16"/>
          <w:szCs w:val="16"/>
        </w:rPr>
        <w:t xml:space="preserve">Proyectó: Luz Amparo Macías Quintana - Contratista – Dirección de Gestión Corporativa </w:t>
      </w:r>
    </w:p>
    <w:p>
      <w:pPr>
        <w:pStyle w:val="Normal"/>
        <w:jc w:val="both"/>
        <w:rPr/>
      </w:pPr>
      <w:r>
        <w:rPr>
          <w:rFonts w:cs="Arial" w:ascii="Arial" w:hAnsi="Arial"/>
          <w:sz w:val="16"/>
          <w:szCs w:val="16"/>
        </w:rPr>
        <w:t>Revisó:    Martha Reyes Castillo – Profesional  Especializado– Oficina Asesora de Jurídica</w:t>
      </w:r>
    </w:p>
    <w:p>
      <w:pPr>
        <w:pStyle w:val="Normal"/>
        <w:jc w:val="both"/>
        <w:rPr>
          <w:rFonts w:ascii="Arial" w:hAnsi="Arial" w:cs="Arial"/>
          <w:sz w:val="16"/>
          <w:szCs w:val="16"/>
        </w:rPr>
      </w:pPr>
      <w:r>
        <w:rPr>
          <w:rFonts w:cs="Arial" w:ascii="Arial" w:hAnsi="Arial"/>
          <w:sz w:val="16"/>
          <w:szCs w:val="16"/>
        </w:rPr>
        <w:t>Aprobó:  Yaneth Suárez Acero – Directora de Gestión Corporativa</w:t>
      </w:r>
    </w:p>
    <w:p>
      <w:pPr>
        <w:pStyle w:val="Normal"/>
        <w:jc w:val="both"/>
        <w:rPr/>
      </w:pPr>
      <w:r>
        <w:rPr>
          <w:rFonts w:cs="Arial" w:ascii="Arial" w:hAnsi="Arial"/>
          <w:sz w:val="16"/>
          <w:szCs w:val="16"/>
        </w:rPr>
        <w:t xml:space="preserve">                </w:t>
      </w:r>
      <w:r>
        <w:rPr>
          <w:rFonts w:cs="Arial" w:ascii="Arial" w:hAnsi="Arial"/>
          <w:sz w:val="16"/>
          <w:szCs w:val="16"/>
        </w:rPr>
        <w:t>Juan Manuel Vargas Ayala – Jefe Oficina Asesora de Jurídica</w:t>
      </w:r>
    </w:p>
    <w:sectPr>
      <w:headerReference w:type="default" r:id="rId2"/>
      <w:footerReference w:type="default" r:id="rId3"/>
      <w:type w:val="nextPage"/>
      <w:pgSz w:w="12240" w:h="15840"/>
      <w:pgMar w:left="1701" w:right="1701" w:header="680" w:top="2571" w:footer="851" w:bottom="2291" w:gutter="0"/>
      <w:pgNumType w:fmt="decimal"/>
      <w:formProt w:val="false"/>
      <w:textDirection w:val="lrTb"/>
      <w:docGrid w:type="default" w:linePitch="36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de3of9">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lear" w:pos="4987"/>
        <w:tab w:val="clear" w:pos="9974"/>
        <w:tab w:val="left" w:pos="1820" w:leader="none"/>
      </w:tabs>
      <w:rPr/>
    </w:pPr>
    <w:r>
      <w:rPr/>
      <w:tab/>
    </w:r>
  </w:p>
  <w:tbl>
    <w:tblPr>
      <w:tblStyle w:val="Tablaconcuadrcula"/>
      <w:tblW w:w="5000" w:type="pct"/>
      <w:jc w:val="left"/>
      <w:tblInd w:w="0" w:type="dxa"/>
      <w:tblCellMar>
        <w:top w:w="0" w:type="dxa"/>
        <w:left w:w="108" w:type="dxa"/>
        <w:bottom w:w="0" w:type="dxa"/>
        <w:right w:w="108" w:type="dxa"/>
      </w:tblCellMar>
      <w:tblLook w:firstRow="1" w:noVBand="1" w:lastRow="0" w:firstColumn="1" w:lastColumn="0" w:noHBand="0" w:val="04a0"/>
    </w:tblPr>
    <w:tblGrid>
      <w:gridCol w:w="3520"/>
      <w:gridCol w:w="1631"/>
      <w:gridCol w:w="2515"/>
      <w:gridCol w:w="1171"/>
    </w:tblGrid>
    <w:tr>
      <w:trPr/>
      <w:tc>
        <w:tcPr>
          <w:tcW w:w="3520" w:type="dxa"/>
          <w:tcBorders>
            <w:top w:val="nil"/>
            <w:left w:val="nil"/>
            <w:bottom w:val="nil"/>
            <w:right w:val="nil"/>
          </w:tcBorders>
          <w:shd w:color="auto" w:fill="auto" w:val="clear"/>
        </w:tcPr>
        <w:p>
          <w:pPr>
            <w:pStyle w:val="Normal"/>
            <w:tabs>
              <w:tab w:val="clear" w:pos="709"/>
              <w:tab w:val="center" w:pos="4419" w:leader="none"/>
              <w:tab w:val="right" w:pos="8838" w:leader="none"/>
            </w:tabs>
            <w:rPr>
              <w:rFonts w:ascii="Arial" w:hAnsi="Arial" w:cs="Arial"/>
              <w:color w:val="000000"/>
              <w:sz w:val="18"/>
              <w:szCs w:val="18"/>
            </w:rPr>
          </w:pPr>
          <w:r>
            <w:rPr>
              <w:rFonts w:eastAsia="Calibri" w:cs="Arial" w:ascii="Arial" w:hAnsi="Arial"/>
              <w:color w:val="000000"/>
              <w:sz w:val="18"/>
              <w:szCs w:val="18"/>
              <w:lang w:eastAsia="es-ES_tradnl" w:bidi="ar-SA"/>
            </w:rPr>
            <w:t>Cra. 8ª No. 9 - 83 Centro</w:t>
          </w:r>
        </w:p>
        <w:p>
          <w:pPr>
            <w:pStyle w:val="Normal"/>
            <w:tabs>
              <w:tab w:val="clear" w:pos="709"/>
              <w:tab w:val="center" w:pos="4419" w:leader="none"/>
              <w:tab w:val="right" w:pos="8838" w:leader="none"/>
            </w:tabs>
            <w:rPr>
              <w:rFonts w:ascii="Arial" w:hAnsi="Arial" w:cs="Arial"/>
              <w:color w:val="000000"/>
              <w:sz w:val="18"/>
              <w:szCs w:val="18"/>
            </w:rPr>
          </w:pPr>
          <w:r>
            <w:rPr>
              <w:rFonts w:eastAsia="Calibri" w:cs="Arial" w:ascii="Arial" w:hAnsi="Arial"/>
              <w:color w:val="000000"/>
              <w:sz w:val="18"/>
              <w:szCs w:val="18"/>
              <w:lang w:eastAsia="es-ES_tradnl" w:bidi="ar-SA"/>
            </w:rPr>
            <w:t>Tel. 3274850</w:t>
          </w:r>
        </w:p>
        <w:p>
          <w:pPr>
            <w:pStyle w:val="Normal"/>
            <w:tabs>
              <w:tab w:val="clear" w:pos="709"/>
              <w:tab w:val="center" w:pos="4419" w:leader="none"/>
              <w:tab w:val="right" w:pos="8838" w:leader="none"/>
            </w:tabs>
            <w:rPr>
              <w:rFonts w:ascii="Arial" w:hAnsi="Arial" w:cs="Arial"/>
              <w:color w:val="000000"/>
              <w:sz w:val="18"/>
              <w:szCs w:val="18"/>
            </w:rPr>
          </w:pPr>
          <w:r>
            <w:rPr>
              <w:rFonts w:eastAsia="Calibri" w:cs="Arial" w:ascii="Arial" w:hAnsi="Arial"/>
              <w:color w:val="000000"/>
              <w:sz w:val="18"/>
              <w:szCs w:val="18"/>
              <w:lang w:eastAsia="es-ES_tradnl" w:bidi="ar-SA"/>
            </w:rPr>
            <w:t>Código Postal: 111711</w:t>
          </w:r>
        </w:p>
        <w:p>
          <w:pPr>
            <w:pStyle w:val="Normal"/>
            <w:tabs>
              <w:tab w:val="clear" w:pos="709"/>
              <w:tab w:val="center" w:pos="4419" w:leader="none"/>
              <w:tab w:val="right" w:pos="8838" w:leader="none"/>
            </w:tabs>
            <w:rPr/>
          </w:pPr>
          <w:hyperlink r:id="rId1">
            <w:r>
              <w:rPr>
                <w:rStyle w:val="EnlacedeInternet"/>
                <w:rFonts w:eastAsia="Calibri" w:cs="Calibri" w:ascii="Calibri" w:hAnsi="Calibri"/>
                <w:sz w:val="18"/>
                <w:szCs w:val="18"/>
                <w:lang w:eastAsia="es-ES_tradnl" w:bidi="ar-SA"/>
              </w:rPr>
              <w:t>www.culturarecreacionydeporte.gov.co</w:t>
            </w:r>
          </w:hyperlink>
        </w:p>
        <w:p>
          <w:pPr>
            <w:pStyle w:val="Normal"/>
            <w:tabs>
              <w:tab w:val="clear" w:pos="709"/>
              <w:tab w:val="center" w:pos="4419" w:leader="none"/>
              <w:tab w:val="right" w:pos="8838" w:leader="none"/>
            </w:tabs>
            <w:rPr>
              <w:color w:val="000000"/>
            </w:rPr>
          </w:pPr>
          <w:r>
            <w:rPr>
              <w:rFonts w:eastAsia="Calibri" w:cs="Arial" w:ascii="Arial" w:hAnsi="Arial"/>
              <w:color w:val="000000"/>
              <w:sz w:val="18"/>
              <w:szCs w:val="18"/>
              <w:lang w:eastAsia="es-ES_tradnl" w:bidi="ar-SA"/>
            </w:rPr>
            <w:t>Información: Línea 195</w:t>
          </w:r>
        </w:p>
      </w:tc>
      <w:tc>
        <w:tcPr>
          <w:tcW w:w="1631" w:type="dxa"/>
          <w:tcBorders>
            <w:top w:val="nil"/>
            <w:left w:val="nil"/>
            <w:bottom w:val="nil"/>
            <w:right w:val="nil"/>
          </w:tcBorders>
          <w:shd w:color="auto" w:fill="auto" w:val="clear"/>
        </w:tcPr>
        <w:p>
          <w:pPr>
            <w:pStyle w:val="Normal"/>
            <w:rPr>
              <w:rFonts w:ascii="Calibri" w:hAnsi="Calibri" w:eastAsia="Calibri" w:cs="Calibri"/>
              <w:sz w:val="18"/>
              <w:szCs w:val="18"/>
              <w:lang w:eastAsia="es-ES_tradnl" w:bidi="ar-SA"/>
            </w:rPr>
          </w:pPr>
          <w:r>
            <w:rPr>
              <w:rFonts w:eastAsia="Calibri" w:cs="Calibri" w:ascii="Calibri" w:hAnsi="Calibri"/>
              <w:sz w:val="18"/>
              <w:szCs w:val="18"/>
              <w:lang w:eastAsia="es-ES_tradnl" w:bidi="ar-SA"/>
            </w:rPr>
          </w:r>
        </w:p>
        <w:p>
          <w:pPr>
            <w:pStyle w:val="Normal"/>
            <w:rPr>
              <w:rFonts w:ascii="Calibri" w:hAnsi="Calibri" w:eastAsia="Calibri" w:cs="Calibri"/>
              <w:sz w:val="18"/>
              <w:szCs w:val="18"/>
              <w:lang w:eastAsia="es-ES_tradnl" w:bidi="ar-SA"/>
            </w:rPr>
          </w:pPr>
          <w:r>
            <w:rPr>
              <w:rFonts w:eastAsia="Calibri" w:cs="Calibri" w:ascii="Calibri" w:hAnsi="Calibri"/>
              <w:sz w:val="18"/>
              <w:szCs w:val="18"/>
              <w:lang w:eastAsia="es-ES_tradnl" w:bidi="ar-SA"/>
            </w:rPr>
          </w:r>
        </w:p>
      </w:tc>
      <w:tc>
        <w:tcPr>
          <w:tcW w:w="2515" w:type="dxa"/>
          <w:tcBorders>
            <w:top w:val="nil"/>
            <w:left w:val="nil"/>
            <w:bottom w:val="nil"/>
            <w:right w:val="nil"/>
          </w:tcBorders>
          <w:shd w:color="auto" w:fill="auto" w:val="clear"/>
        </w:tcPr>
        <w:p>
          <w:pPr>
            <w:pStyle w:val="Normal"/>
            <w:jc w:val="center"/>
            <w:rPr>
              <w:lang w:eastAsia="es-ES_tradnl" w:bidi="ar-SA"/>
            </w:rPr>
          </w:pPr>
          <w:r>
            <w:rPr>
              <w:rFonts w:eastAsia="Arial" w:cs="Arial" w:ascii="Arial" w:hAnsi="Arial"/>
              <w:color w:val="000000"/>
              <w:sz w:val="14"/>
              <w:szCs w:val="14"/>
              <w:lang w:eastAsia="es-ES_tradnl" w:bidi="ar-SA"/>
            </w:rPr>
            <w:t xml:space="preserve">Página </w:t>
          </w:r>
          <w:r>
            <w:rPr>
              <w:rFonts w:eastAsia="Arial" w:cs="Arial" w:ascii="Arial" w:hAnsi="Arial"/>
              <w:b/>
              <w:sz w:val="14"/>
              <w:szCs w:val="14"/>
              <w:lang w:eastAsia="es-ES_tradnl" w:bidi="ar-SA"/>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3</w:t>
          </w:r>
          <w:r>
            <w:rPr>
              <w:sz w:val="14"/>
              <w:b/>
              <w:szCs w:val="14"/>
              <w:rFonts w:eastAsia="Arial" w:cs="Arial" w:ascii="Arial" w:hAnsi="Arial"/>
            </w:rPr>
            <w:fldChar w:fldCharType="end"/>
          </w:r>
          <w:r>
            <w:rPr>
              <w:rFonts w:eastAsia="Arial" w:cs="Arial" w:ascii="Arial" w:hAnsi="Arial"/>
              <w:color w:val="000000"/>
              <w:sz w:val="14"/>
              <w:szCs w:val="14"/>
              <w:lang w:eastAsia="es-ES_tradnl" w:bidi="ar-SA"/>
            </w:rPr>
            <w:t xml:space="preserve"> de </w:t>
          </w:r>
          <w:r>
            <w:rPr>
              <w:rFonts w:eastAsia="Arial" w:cs="Arial" w:ascii="Arial" w:hAnsi="Arial"/>
              <w:b/>
              <w:sz w:val="14"/>
              <w:szCs w:val="14"/>
              <w:lang w:eastAsia="es-ES_tradnl" w:bidi="ar-SA"/>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3</w:t>
          </w:r>
          <w:r>
            <w:rPr>
              <w:sz w:val="14"/>
              <w:b/>
              <w:szCs w:val="14"/>
              <w:rFonts w:eastAsia="Arial" w:cs="Arial" w:ascii="Arial" w:hAnsi="Arial"/>
            </w:rPr>
            <w:fldChar w:fldCharType="end"/>
          </w:r>
        </w:p>
        <w:p>
          <w:pPr>
            <w:pStyle w:val="Normal"/>
            <w:jc w:val="center"/>
            <w:rPr>
              <w:sz w:val="14"/>
              <w:szCs w:val="14"/>
            </w:rPr>
          </w:pPr>
          <w:r>
            <w:rPr>
              <w:rFonts w:eastAsia="Calibri" w:cs="Arial" w:ascii="Arial" w:hAnsi="Arial"/>
              <w:sz w:val="14"/>
              <w:szCs w:val="14"/>
              <w:lang w:eastAsia="es-ES_tradnl" w:bidi="ar-SA"/>
            </w:rPr>
            <w:t>FR-09-PR-MEJ-01. V8. 28/06/2021</w:t>
          </w:r>
        </w:p>
      </w:tc>
      <w:tc>
        <w:tcPr>
          <w:tcW w:w="1171" w:type="dxa"/>
          <w:tcBorders>
            <w:top w:val="nil"/>
            <w:left w:val="nil"/>
            <w:bottom w:val="nil"/>
            <w:right w:val="nil"/>
          </w:tcBorders>
          <w:shd w:color="auto" w:fill="auto" w:val="clear"/>
        </w:tcPr>
        <w:p>
          <w:pPr>
            <w:pStyle w:val="Normal"/>
            <w:tabs>
              <w:tab w:val="clear" w:pos="709"/>
              <w:tab w:val="center" w:pos="4419" w:leader="none"/>
              <w:tab w:val="right" w:pos="8838" w:leader="none"/>
            </w:tabs>
            <w:jc w:val="center"/>
            <w:rPr>
              <w:rFonts w:ascii="Calibri" w:hAnsi="Calibri" w:cs="Calibri" w:asciiTheme="minorHAnsi" w:cstheme="minorHAnsi" w:hAnsiTheme="minorHAnsi"/>
              <w:color w:val="000000"/>
            </w:rPr>
          </w:pPr>
          <w:r>
            <w:rPr>
              <w:lang w:eastAsia="es-ES_tradnl" w:bidi="ar-SA"/>
            </w:rPr>
            <w:drawing>
              <wp:inline distT="0" distB="0" distL="0" distR="0">
                <wp:extent cx="477520" cy="570865"/>
                <wp:effectExtent l="0" t="0" r="0" b="0"/>
                <wp:docPr id="2"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09"/>
              <w:tab w:val="center" w:pos="4419" w:leader="none"/>
              <w:tab w:val="right" w:pos="8838" w:leader="none"/>
            </w:tabs>
            <w:jc w:val="center"/>
            <w:rPr>
              <w:rFonts w:ascii="Calibri" w:hAnsi="Calibri" w:cs="Calibri" w:asciiTheme="minorHAnsi" w:cstheme="minorHAnsi" w:hAnsiTheme="minorHAnsi"/>
              <w:color w:val="000000"/>
              <w:sz w:val="13"/>
              <w:szCs w:val="13"/>
            </w:rPr>
          </w:pPr>
          <w:r>
            <w:rPr>
              <w:rFonts w:eastAsia="Calibri" w:cs="Calibri" w:ascii="Calibri" w:hAnsi="Calibri" w:asciiTheme="minorHAnsi" w:cstheme="minorHAnsi" w:hAnsiTheme="minorHAnsi"/>
              <w:color w:val="000000"/>
              <w:sz w:val="13"/>
              <w:szCs w:val="13"/>
              <w:lang w:eastAsia="es-ES_tradnl" w:bidi="ar-SA"/>
            </w:rPr>
            <w:t>ALCALDÍA MAYOR</w:t>
          </w:r>
        </w:p>
        <w:p>
          <w:pPr>
            <w:pStyle w:val="Normal"/>
            <w:tabs>
              <w:tab w:val="clear" w:pos="709"/>
              <w:tab w:val="center" w:pos="4419" w:leader="none"/>
              <w:tab w:val="right" w:pos="8838" w:leader="none"/>
            </w:tabs>
            <w:jc w:val="center"/>
            <w:rPr>
              <w:color w:val="000000"/>
            </w:rPr>
          </w:pPr>
          <w:r>
            <w:rPr>
              <w:rFonts w:eastAsia="Calibri" w:cs="Calibri" w:ascii="Calibri" w:hAnsi="Calibri" w:asciiTheme="minorHAnsi" w:cstheme="minorHAnsi" w:hAnsiTheme="minorHAnsi"/>
              <w:color w:val="000000"/>
              <w:sz w:val="13"/>
              <w:szCs w:val="13"/>
              <w:lang w:eastAsia="es-ES_tradnl" w:bidi="ar-SA"/>
            </w:rPr>
            <w:t>DE BOGOTÁ D.C.</w:t>
          </w:r>
        </w:p>
      </w:tc>
    </w:tr>
  </w:tbl>
  <w:p>
    <w:pPr>
      <w:pStyle w:val="Piedepgina"/>
      <w:tabs>
        <w:tab w:val="clear" w:pos="4987"/>
        <w:tab w:val="clear" w:pos="9974"/>
        <w:tab w:val="left" w:pos="1820"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color="auto" w:fill="auto" w:val="clear"/>
          <w:vAlign w:val="center"/>
        </w:tcPr>
        <w:p>
          <w:pPr>
            <w:pStyle w:val="Normal"/>
            <w:tabs>
              <w:tab w:val="clear" w:pos="709"/>
              <w:tab w:val="center" w:pos="4419" w:leader="none"/>
              <w:tab w:val="right" w:pos="8838" w:leader="none"/>
            </w:tabs>
            <w:jc w:val="center"/>
            <w:rPr>
              <w:i/>
              <w:i/>
              <w:color w:val="000000"/>
            </w:rPr>
          </w:pPr>
          <w:r>
            <w:rPr>
              <w:i/>
              <w:color w:val="000000"/>
            </w:rPr>
          </w:r>
        </w:p>
      </w:tc>
      <w:tc>
        <w:tcPr>
          <w:tcW w:w="4824" w:type="dxa"/>
          <w:tcBorders/>
          <w:shd w:color="auto" w:fill="auto" w:val="clear"/>
          <w:vAlign w:val="center"/>
        </w:tcPr>
        <w:p>
          <w:pPr>
            <w:pStyle w:val="Normal"/>
            <w:tabs>
              <w:tab w:val="clear" w:pos="709"/>
              <w:tab w:val="center" w:pos="4419" w:leader="none"/>
              <w:tab w:val="right" w:pos="8838" w:leader="none"/>
            </w:tabs>
            <w:jc w:val="right"/>
            <w:rPr>
              <w:i/>
              <w:i/>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color="auto" w:fill="auto" w:val="clear"/>
          <w:vAlign w:val="center"/>
        </w:tcPr>
        <w:p>
          <w:pPr>
            <w:pStyle w:val="Normal"/>
            <w:tabs>
              <w:tab w:val="clear" w:pos="709"/>
              <w:tab w:val="left" w:pos="1485" w:leader="none"/>
            </w:tabs>
            <w:jc w:val="right"/>
            <w:rPr>
              <w:rFonts w:ascii="Code3of9" w:hAnsi="Code3of9" w:eastAsia="Code3of9" w:cs="Code3of9"/>
              <w:i/>
              <w:i/>
              <w:sz w:val="22"/>
              <w:szCs w:val="22"/>
            </w:rPr>
          </w:pPr>
          <w:r>
            <w:rPr>
              <w:rFonts w:eastAsia="Code3of9" w:cs="Code3of9" w:ascii="Code3of9" w:hAnsi="Code3of9"/>
              <w:i/>
              <w:sz w:val="22"/>
              <w:szCs w:val="22"/>
            </w:rPr>
            <w:t>*20217000208753*</w:t>
          </w:r>
        </w:p>
        <w:p>
          <w:pPr>
            <w:pStyle w:val="Normal"/>
            <w:tabs>
              <w:tab w:val="clear" w:pos="709"/>
              <w:tab w:val="left" w:pos="1485" w:leader="none"/>
            </w:tabs>
            <w:jc w:val="right"/>
            <w:rPr>
              <w:rFonts w:ascii="Arial" w:hAnsi="Arial" w:eastAsia="Arial" w:cs="Arial"/>
              <w:b/>
              <w:b/>
              <w:i/>
              <w:i/>
            </w:rPr>
          </w:pPr>
          <w:r>
            <w:rPr>
              <w:rFonts w:eastAsia="Arial" w:cs="Arial" w:ascii="Arial" w:hAnsi="Arial"/>
              <w:i/>
              <w:sz w:val="14"/>
              <w:szCs w:val="14"/>
            </w:rPr>
            <w:t xml:space="preserve">Radicado: </w:t>
          </w:r>
          <w:r>
            <w:rPr>
              <w:rFonts w:eastAsia="Arial" w:cs="Arial" w:ascii="Arial" w:hAnsi="Arial"/>
              <w:b/>
              <w:i/>
            </w:rPr>
            <w:t>20217000208753</w:t>
          </w:r>
        </w:p>
        <w:p>
          <w:pPr>
            <w:pStyle w:val="Normal"/>
            <w:tabs>
              <w:tab w:val="clear" w:pos="709"/>
              <w:tab w:val="left" w:pos="1485" w:leader="none"/>
            </w:tabs>
            <w:jc w:val="right"/>
            <w:rPr>
              <w:rFonts w:ascii="Arial" w:hAnsi="Arial" w:eastAsia="Arial" w:cs="Arial"/>
              <w:i/>
              <w:i/>
            </w:rPr>
          </w:pPr>
          <w:r>
            <w:rPr>
              <w:rFonts w:eastAsia="Arial" w:cs="Arial" w:ascii="Arial" w:hAnsi="Arial"/>
              <w:i/>
              <w:sz w:val="14"/>
              <w:szCs w:val="14"/>
            </w:rPr>
            <w:t>Fecha:</w:t>
          </w:r>
          <w:r>
            <w:rPr>
              <w:rFonts w:eastAsia="Arial" w:cs="Arial" w:ascii="Arial" w:hAnsi="Arial"/>
              <w:i/>
            </w:rPr>
            <w:t xml:space="preserve"> </w:t>
          </w:r>
          <w:r>
            <w:rPr>
              <w:rFonts w:eastAsia="Arial" w:cs="Arial" w:ascii="Arial" w:hAnsi="Arial"/>
              <w:i/>
              <w:sz w:val="18"/>
              <w:szCs w:val="18"/>
            </w:rPr>
            <w:t>29-07-2021</w:t>
          </w:r>
        </w:p>
      </w:tc>
    </w:tr>
  </w:tbl>
  <w:p>
    <w:pPr>
      <w:pStyle w:val="Cabecera"/>
      <w:jc w:val="center"/>
      <w:rPr/>
    </w:pPr>
    <w:r>
      <w:rPr/>
    </w:r>
  </w:p>
  <w:p>
    <w:pPr>
      <w:pStyle w:val="Cabecera"/>
      <w:jc w:val="center"/>
      <w:rPr>
        <w:rFonts w:ascii="Arial" w:hAnsi="Arial" w:eastAsia="Arial" w:cs="Arial"/>
        <w:b/>
        <w:b/>
        <w:bCs/>
        <w:sz w:val="24"/>
        <w:szCs w:val="24"/>
      </w:rPr>
    </w:pPr>
    <w:r>
      <w:rPr>
        <w:rFonts w:eastAsia="Arial" w:cs="Arial" w:ascii="Arial" w:hAnsi="Arial"/>
        <w:b/>
        <w:bCs/>
        <w:sz w:val="24"/>
        <w:szCs w:val="24"/>
      </w:rPr>
    </w:r>
  </w:p>
  <w:p>
    <w:pPr>
      <w:pStyle w:val="Cabecera"/>
      <w:jc w:val="center"/>
      <w:rPr/>
    </w:pPr>
    <w:r>
      <w:rPr>
        <w:rFonts w:eastAsia="Arial" w:cs="Arial" w:ascii="Arial" w:hAnsi="Arial"/>
        <w:b/>
        <w:bCs/>
        <w:sz w:val="28"/>
        <w:szCs w:val="28"/>
      </w:rPr>
      <w:t>RESOLUCIÓN No</w:t>
    </w:r>
    <w:r>
      <w:rPr>
        <w:rFonts w:eastAsia="Arial" w:cs="Arial" w:ascii="Arial" w:hAnsi="Arial"/>
        <w:b/>
        <w:bCs/>
        <w:sz w:val="32"/>
        <w:szCs w:val="32"/>
      </w:rPr>
      <w:t xml:space="preserve">.       </w:t>
    </w:r>
    <w:r>
      <w:rPr>
        <w:rFonts w:eastAsia="Arial" w:cs="Arial" w:ascii="Arial" w:hAnsi="Arial"/>
        <w:b/>
        <w:bCs/>
        <w:sz w:val="28"/>
        <w:szCs w:val="28"/>
      </w:rPr>
      <w:t>de 2021</w:t>
    </w:r>
  </w:p>
  <w:p>
    <w:pPr>
      <w:pStyle w:val="Cabecera"/>
      <w:jc w:val="center"/>
      <w:rPr>
        <w:rFonts w:ascii="Arial" w:hAnsi="Arial" w:eastAsia="Arial" w:cs="Arial"/>
        <w:b/>
        <w:b/>
        <w:bCs/>
        <w:sz w:val="28"/>
        <w:szCs w:val="28"/>
      </w:rPr>
    </w:pPr>
    <w:r>
      <w:rPr>
        <w:rFonts w:eastAsia="Arial" w:cs="Arial" w:ascii="Arial" w:hAnsi="Arial"/>
        <w:b/>
        <w:bCs/>
        <w:sz w:val="28"/>
        <w:szCs w:val="28"/>
      </w:rPr>
    </w:r>
  </w:p>
  <w:p>
    <w:pPr>
      <w:pStyle w:val="Normal"/>
      <w:ind w:left="516" w:right="510" w:hanging="0"/>
      <w:jc w:val="center"/>
      <w:rPr>
        <w:rFonts w:ascii="Arial" w:hAnsi="Arial" w:cs="Arial"/>
        <w:sz w:val="22"/>
        <w:szCs w:val="22"/>
      </w:rPr>
    </w:pPr>
    <w:r>
      <w:rPr>
        <w:rFonts w:cs="Arial" w:ascii="Arial" w:hAnsi="Arial"/>
        <w:b/>
        <w:bCs/>
        <w:i/>
        <w:iCs/>
        <w:sz w:val="22"/>
        <w:szCs w:val="22"/>
      </w:rPr>
      <w:t>“</w:t>
    </w:r>
    <w:r>
      <w:rPr>
        <w:rFonts w:cs="Arial" w:ascii="Arial" w:hAnsi="Arial"/>
        <w:b/>
        <w:bCs/>
        <w:i/>
        <w:iCs/>
        <w:sz w:val="22"/>
        <w:szCs w:val="22"/>
      </w:rPr>
      <w:t>Por</w:t>
    </w:r>
    <w:r>
      <w:rPr>
        <w:rFonts w:cs="Arial" w:ascii="Arial" w:hAnsi="Arial"/>
        <w:b/>
        <w:bCs/>
        <w:i/>
        <w:iCs/>
        <w:spacing w:val="-6"/>
        <w:sz w:val="22"/>
        <w:szCs w:val="22"/>
      </w:rPr>
      <w:t xml:space="preserve"> </w:t>
    </w:r>
    <w:r>
      <w:rPr>
        <w:rFonts w:cs="Arial" w:ascii="Arial" w:hAnsi="Arial"/>
        <w:b/>
        <w:bCs/>
        <w:i/>
        <w:iCs/>
        <w:sz w:val="22"/>
        <w:szCs w:val="22"/>
      </w:rPr>
      <w:t>medio</w:t>
    </w:r>
    <w:r>
      <w:rPr>
        <w:rFonts w:cs="Arial" w:ascii="Arial" w:hAnsi="Arial"/>
        <w:b/>
        <w:bCs/>
        <w:i/>
        <w:iCs/>
        <w:spacing w:val="-2"/>
        <w:sz w:val="22"/>
        <w:szCs w:val="22"/>
      </w:rPr>
      <w:t xml:space="preserve"> </w:t>
    </w:r>
    <w:r>
      <w:rPr>
        <w:rFonts w:cs="Arial" w:ascii="Arial" w:hAnsi="Arial"/>
        <w:b/>
        <w:bCs/>
        <w:i/>
        <w:iCs/>
        <w:sz w:val="22"/>
        <w:szCs w:val="22"/>
      </w:rPr>
      <w:t>de</w:t>
    </w:r>
    <w:r>
      <w:rPr>
        <w:rFonts w:cs="Arial" w:ascii="Arial" w:hAnsi="Arial"/>
        <w:b/>
        <w:bCs/>
        <w:i/>
        <w:iCs/>
        <w:spacing w:val="-4"/>
        <w:sz w:val="22"/>
        <w:szCs w:val="22"/>
      </w:rPr>
      <w:t xml:space="preserve"> </w:t>
    </w:r>
    <w:r>
      <w:rPr>
        <w:rFonts w:cs="Arial" w:ascii="Arial" w:hAnsi="Arial"/>
        <w:b/>
        <w:bCs/>
        <w:i/>
        <w:iCs/>
        <w:sz w:val="22"/>
        <w:szCs w:val="22"/>
      </w:rPr>
      <w:t>la</w:t>
    </w:r>
    <w:r>
      <w:rPr>
        <w:rFonts w:cs="Arial" w:ascii="Arial" w:hAnsi="Arial"/>
        <w:b/>
        <w:bCs/>
        <w:i/>
        <w:iCs/>
        <w:spacing w:val="-1"/>
        <w:sz w:val="22"/>
        <w:szCs w:val="22"/>
      </w:rPr>
      <w:t xml:space="preserve"> </w:t>
    </w:r>
    <w:r>
      <w:rPr>
        <w:rFonts w:cs="Arial" w:ascii="Arial" w:hAnsi="Arial"/>
        <w:b/>
        <w:bCs/>
        <w:i/>
        <w:iCs/>
        <w:sz w:val="22"/>
        <w:szCs w:val="22"/>
      </w:rPr>
      <w:t>cual</w:t>
    </w:r>
    <w:r>
      <w:rPr>
        <w:rFonts w:cs="Arial" w:ascii="Arial" w:hAnsi="Arial"/>
        <w:b/>
        <w:bCs/>
        <w:i/>
        <w:iCs/>
        <w:spacing w:val="-1"/>
        <w:sz w:val="22"/>
        <w:szCs w:val="22"/>
      </w:rPr>
      <w:t xml:space="preserve"> </w:t>
    </w:r>
    <w:r>
      <w:rPr>
        <w:rFonts w:cs="Arial" w:ascii="Arial" w:hAnsi="Arial"/>
        <w:b/>
        <w:bCs/>
        <w:i/>
        <w:iCs/>
        <w:sz w:val="22"/>
        <w:szCs w:val="22"/>
      </w:rPr>
      <w:t>se</w:t>
    </w:r>
    <w:r>
      <w:rPr>
        <w:rFonts w:cs="Arial" w:ascii="Arial" w:hAnsi="Arial"/>
        <w:b/>
        <w:bCs/>
        <w:i/>
        <w:iCs/>
        <w:spacing w:val="-1"/>
        <w:sz w:val="22"/>
        <w:szCs w:val="22"/>
      </w:rPr>
      <w:t xml:space="preserve"> </w:t>
    </w:r>
    <w:r>
      <w:rPr>
        <w:rFonts w:cs="Arial" w:ascii="Arial" w:hAnsi="Arial"/>
        <w:b/>
        <w:bCs/>
        <w:i/>
        <w:iCs/>
        <w:sz w:val="22"/>
        <w:szCs w:val="22"/>
      </w:rPr>
      <w:t>adoptan</w:t>
    </w:r>
    <w:r>
      <w:rPr>
        <w:rFonts w:cs="Arial" w:ascii="Arial" w:hAnsi="Arial"/>
        <w:b/>
        <w:bCs/>
        <w:i/>
        <w:iCs/>
        <w:spacing w:val="-1"/>
        <w:sz w:val="22"/>
        <w:szCs w:val="22"/>
      </w:rPr>
      <w:t xml:space="preserve"> </w:t>
    </w:r>
    <w:r>
      <w:rPr>
        <w:rFonts w:cs="Arial" w:ascii="Arial" w:hAnsi="Arial"/>
        <w:b/>
        <w:bCs/>
        <w:i/>
        <w:iCs/>
        <w:sz w:val="22"/>
        <w:szCs w:val="22"/>
      </w:rPr>
      <w:t>lineamientos</w:t>
    </w:r>
    <w:r>
      <w:rPr>
        <w:rFonts w:cs="Arial" w:ascii="Arial" w:hAnsi="Arial"/>
        <w:b/>
        <w:bCs/>
        <w:i/>
        <w:iCs/>
        <w:spacing w:val="-5"/>
        <w:sz w:val="22"/>
        <w:szCs w:val="22"/>
      </w:rPr>
      <w:t xml:space="preserve"> </w:t>
    </w:r>
    <w:r>
      <w:rPr>
        <w:rFonts w:cs="Arial" w:ascii="Arial" w:hAnsi="Arial"/>
        <w:b/>
        <w:bCs/>
        <w:i/>
        <w:iCs/>
        <w:sz w:val="22"/>
        <w:szCs w:val="22"/>
      </w:rPr>
      <w:t>de</w:t>
    </w:r>
    <w:r>
      <w:rPr>
        <w:rFonts w:cs="Arial" w:ascii="Arial" w:hAnsi="Arial"/>
        <w:b/>
        <w:bCs/>
        <w:i/>
        <w:iCs/>
        <w:spacing w:val="-2"/>
        <w:sz w:val="22"/>
        <w:szCs w:val="22"/>
      </w:rPr>
      <w:t xml:space="preserve"> </w:t>
    </w:r>
    <w:r>
      <w:rPr>
        <w:rFonts w:cs="Arial" w:ascii="Arial" w:hAnsi="Arial"/>
        <w:b/>
        <w:bCs/>
        <w:i/>
        <w:iCs/>
        <w:sz w:val="22"/>
        <w:szCs w:val="22"/>
      </w:rPr>
      <w:t>servicio a</w:t>
    </w:r>
    <w:r>
      <w:rPr>
        <w:rFonts w:cs="Arial" w:ascii="Arial" w:hAnsi="Arial"/>
        <w:b/>
        <w:bCs/>
        <w:i/>
        <w:iCs/>
        <w:spacing w:val="-5"/>
        <w:sz w:val="22"/>
        <w:szCs w:val="22"/>
      </w:rPr>
      <w:t xml:space="preserve"> </w:t>
    </w:r>
    <w:r>
      <w:rPr>
        <w:rFonts w:cs="Arial" w:ascii="Arial" w:hAnsi="Arial"/>
        <w:b/>
        <w:bCs/>
        <w:i/>
        <w:iCs/>
        <w:sz w:val="22"/>
        <w:szCs w:val="22"/>
      </w:rPr>
      <w:t>la</w:t>
    </w:r>
    <w:r>
      <w:rPr>
        <w:rFonts w:cs="Arial" w:ascii="Arial" w:hAnsi="Arial"/>
        <w:b/>
        <w:bCs/>
        <w:i/>
        <w:iCs/>
        <w:spacing w:val="-1"/>
        <w:sz w:val="22"/>
        <w:szCs w:val="22"/>
      </w:rPr>
      <w:t xml:space="preserve"> </w:t>
    </w:r>
    <w:r>
      <w:rPr>
        <w:rFonts w:cs="Arial" w:ascii="Arial" w:hAnsi="Arial"/>
        <w:b/>
        <w:bCs/>
        <w:i/>
        <w:iCs/>
        <w:sz w:val="22"/>
        <w:szCs w:val="22"/>
      </w:rPr>
      <w:t>ciudadanía</w:t>
    </w:r>
    <w:r>
      <w:rPr>
        <w:rFonts w:cs="Arial" w:ascii="Arial" w:hAnsi="Arial"/>
        <w:b/>
        <w:bCs/>
        <w:i/>
        <w:iCs/>
        <w:spacing w:val="-4"/>
        <w:sz w:val="22"/>
        <w:szCs w:val="22"/>
      </w:rPr>
      <w:t xml:space="preserve"> </w:t>
    </w:r>
    <w:r>
      <w:rPr>
        <w:rFonts w:cs="Arial" w:ascii="Arial" w:hAnsi="Arial"/>
        <w:b/>
        <w:bCs/>
        <w:i/>
        <w:iCs/>
        <w:sz w:val="22"/>
        <w:szCs w:val="22"/>
      </w:rPr>
      <w:t>en</w:t>
    </w:r>
    <w:r>
      <w:rPr>
        <w:rFonts w:cs="Arial" w:ascii="Arial" w:hAnsi="Arial"/>
        <w:b/>
        <w:bCs/>
        <w:i/>
        <w:iCs/>
        <w:spacing w:val="-4"/>
        <w:sz w:val="22"/>
        <w:szCs w:val="22"/>
      </w:rPr>
      <w:t xml:space="preserve"> </w:t>
    </w:r>
    <w:r>
      <w:rPr>
        <w:rFonts w:cs="Arial" w:ascii="Arial" w:hAnsi="Arial"/>
        <w:b/>
        <w:bCs/>
        <w:i/>
        <w:iCs/>
        <w:sz w:val="22"/>
        <w:szCs w:val="22"/>
      </w:rPr>
      <w:t>la</w:t>
    </w:r>
    <w:r>
      <w:rPr>
        <w:rFonts w:cs="Arial" w:ascii="Arial" w:hAnsi="Arial"/>
        <w:b/>
        <w:bCs/>
        <w:i/>
        <w:iCs/>
        <w:spacing w:val="-3"/>
        <w:sz w:val="22"/>
        <w:szCs w:val="22"/>
      </w:rPr>
      <w:t xml:space="preserve"> </w:t>
    </w:r>
    <w:r>
      <w:rPr>
        <w:rFonts w:cs="Arial" w:ascii="Arial" w:hAnsi="Arial"/>
        <w:b/>
        <w:bCs/>
        <w:i/>
        <w:iCs/>
        <w:sz w:val="22"/>
        <w:szCs w:val="22"/>
      </w:rPr>
      <w:t>Secretaría Distrital de Cultura, Recreación y Deporte”</w:t>
    </w:r>
  </w:p>
  <w:p>
    <w:pPr>
      <w:pStyle w:val="Normal"/>
      <w:tabs>
        <w:tab w:val="clear" w:pos="709"/>
        <w:tab w:val="left" w:pos="1485" w:leader="none"/>
      </w:tabs>
      <w:jc w:val="right"/>
      <w:rPr>
        <w:rFonts w:ascii="Arial" w:hAnsi="Arial" w:eastAsia="Andale Sans UI" w:cs="Lucidasans;Times New Roman"/>
        <w:b/>
        <w:b/>
        <w:bCs/>
        <w:i/>
        <w:i/>
        <w:iCs/>
        <w:sz w:val="18"/>
        <w:szCs w:val="18"/>
      </w:rPr>
    </w:pPr>
    <w:r>
      <w:rPr>
        <w:rFonts w:eastAsia="Andale Sans UI" w:cs="Lucidasans;Times New Roman" w:ascii="Arial" w:hAnsi="Arial"/>
        <w:b/>
        <w:bCs/>
        <w:i/>
        <w:iCs/>
        <w:sz w:val="18"/>
        <w:szCs w:val="18"/>
      </w:rPr>
    </w:r>
  </w:p>
  <w:p>
    <w:pPr>
      <w:pStyle w:val="Normal"/>
      <w:tabs>
        <w:tab w:val="clear" w:pos="709"/>
        <w:tab w:val="left" w:pos="1485" w:leader="none"/>
      </w:tabs>
      <w:jc w:val="right"/>
      <w:rPr>
        <w:rFonts w:ascii="Arial" w:hAnsi="Arial" w:eastAsia="Andale Sans UI" w:cs="Lucidasans;Times New Roman"/>
        <w:sz w:val="18"/>
        <w:szCs w:val="18"/>
      </w:rPr>
    </w:pPr>
    <w:r>
      <w:rPr>
        <w:rFonts w:eastAsia="Andale Sans UI" w:cs="Lucidasans;Times New Roman"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s-CO"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val="es-ES" w:bidi="es-ES" w:eastAsia="zh-CN"/>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customStyle="1">
    <w:name w:val="Enlace de Internet"/>
    <w:basedOn w:val="DefaultParagraphFont"/>
    <w:uiPriority w:val="99"/>
    <w:semiHidden/>
    <w:unhideWhenUsed/>
    <w:rsid w:val="00753068"/>
    <w:rPr>
      <w:color w:val="0000FF"/>
      <w:u w:val="single"/>
    </w:rPr>
  </w:style>
  <w:style w:type="character" w:styleId="EncabezadoCar" w:customStyle="1">
    <w:name w:val="Encabezado Car"/>
    <w:basedOn w:val="DefaultParagraphFont"/>
    <w:link w:val="Encabezado"/>
    <w:uiPriority w:val="99"/>
    <w:qFormat/>
    <w:rsid w:val="003b6108"/>
    <w:rPr>
      <w:rFonts w:ascii="Times New Roman" w:hAnsi="Times New Roman" w:eastAsia="Times New Roman" w:cs="Times New Roman"/>
      <w:color w:val="00000A"/>
      <w:sz w:val="20"/>
      <w:szCs w:val="20"/>
      <w:lang w:val="es-ES" w:bidi="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Cabeceraypie" w:customStyle="1">
    <w:name w:val="Cabecera y pie"/>
    <w:basedOn w:val="Normal"/>
    <w:qFormat/>
    <w:pPr/>
    <w:rPr/>
  </w:style>
  <w:style w:type="paragraph" w:styleId="Cabecera">
    <w:name w:val="Header"/>
    <w:basedOn w:val="Normal"/>
    <w:link w:val="EncabezadoCar"/>
    <w:uiPriority w:val="99"/>
    <w:qFormat/>
    <w:pPr>
      <w:tabs>
        <w:tab w:val="clear" w:pos="709"/>
        <w:tab w:val="center" w:pos="4252" w:leader="none"/>
        <w:tab w:val="right" w:pos="8504" w:leader="none"/>
      </w:tabs>
    </w:pPr>
    <w:rPr/>
  </w:style>
  <w:style w:type="paragraph" w:styleId="Piedepgina">
    <w:name w:val="Footer"/>
    <w:basedOn w:val="Normal"/>
    <w:qFormat/>
    <w:pPr>
      <w:suppressLineNumbers/>
      <w:tabs>
        <w:tab w:val="clear" w:pos="709"/>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0"/>
      <w:sz w:val="20"/>
      <w:szCs w:val="24"/>
      <w:lang w:val="es-ES" w:eastAsia="es-ES" w:bidi="es-ES"/>
    </w:rPr>
  </w:style>
  <w:style w:type="paragraph" w:styleId="ListParagraph">
    <w:name w:val="List Paragraph"/>
    <w:basedOn w:val="Normal"/>
    <w:uiPriority w:val="1"/>
    <w:qFormat/>
    <w:rsid w:val="00753068"/>
    <w:pPr>
      <w:suppressAutoHyphens w:val="false"/>
      <w:overflowPunct w:val="false"/>
      <w:spacing w:before="1" w:after="0"/>
      <w:ind w:left="477" w:hanging="361"/>
    </w:pPr>
    <w:rPr>
      <w:color w:val="auto"/>
      <w:sz w:val="22"/>
      <w:szCs w:val="22"/>
      <w:lang w:eastAsia="en-US" w:bidi="ar-SA"/>
    </w:rPr>
  </w:style>
  <w:style w:type="paragraph" w:styleId="Western" w:customStyle="1">
    <w:name w:val="western"/>
    <w:basedOn w:val="Normal"/>
    <w:qFormat/>
    <w:rsid w:val="00753068"/>
    <w:pPr>
      <w:widowControl/>
      <w:suppressAutoHyphens w:val="false"/>
      <w:overflowPunct w:val="false"/>
      <w:spacing w:beforeAutospacing="1" w:afterAutospacing="1"/>
    </w:pPr>
    <w:rPr>
      <w:color w:val="auto"/>
      <w:sz w:val="24"/>
      <w:szCs w:val="24"/>
      <w:lang w:val="es-CO" w:eastAsia="es-CO" w:bidi="ar-SA"/>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64020c"/>
    <w:rPr>
      <w:lang w:eastAsia="es-ES_tradnl"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LibreOffice/6.3.6.2$Windows_X86_64 LibreOffice_project/2196df99b074d8a661f4036fca8fa0cbfa33a497</Application>
  <Pages>3</Pages>
  <Words>1035</Words>
  <Characters>5674</Characters>
  <CharactersWithSpaces>6706</CharactersWithSpaces>
  <Paragraphs>47</Paragraphs>
  <Company>Secretaría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2021-08-10T15:24:00Z</dcterms:created>
  <dc:creator>Dirección de Gestión Corporativa</dc:creator>
  <dc:description/>
  <dc:language>es-ES</dc:language>
  <cp:lastModifiedBy/>
  <cp:lastPrinted>2021-08-10T15:24:00Z</cp:lastPrinted>
  <dcterms:modified xsi:type="dcterms:W3CDTF">2021-08-17T10:45:02Z</dcterms:modified>
  <cp:revision>4</cp:revision>
  <dc:subject>RESOLUCIÓN</dc:subject>
  <dc:title>FR-09-PR-MEJ-01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Informaci?n 1">
    <vt:lpwstr/>
  </property>
  <property fmtid="{D5CDD505-2E9C-101B-9397-08002B2CF9AE}" pid="7" name="Informaci?n 2">
    <vt:lpwstr/>
  </property>
  <property fmtid="{D5CDD505-2E9C-101B-9397-08002B2CF9AE}" pid="8" name="Informaci?n 3">
    <vt:lpwstr/>
  </property>
  <property fmtid="{D5CDD505-2E9C-101B-9397-08002B2CF9AE}" pid="9" name="Informaci?n 4">
    <vt:lpwstr/>
  </property>
  <property fmtid="{D5CDD505-2E9C-101B-9397-08002B2CF9AE}" pid="10" name="LinksUpToDate">
    <vt:bool>0</vt:bool>
  </property>
  <property fmtid="{D5CDD505-2E9C-101B-9397-08002B2CF9AE}" pid="11" name="Manager">
    <vt:lpwstr>SGDEA</vt:lpwstr>
  </property>
  <property fmtid="{D5CDD505-2E9C-101B-9397-08002B2CF9AE}" pid="12" name="ScaleCrop">
    <vt:bool>0</vt:bool>
  </property>
  <property fmtid="{D5CDD505-2E9C-101B-9397-08002B2CF9AE}" pid="13" name="ShareDoc">
    <vt:bool>0</vt:bool>
  </property>
</Properties>
</file>