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28406" w14:textId="77777777" w:rsidR="00DE50EA" w:rsidRDefault="00DE50EA">
      <w:pPr>
        <w:tabs>
          <w:tab w:val="left" w:pos="2135"/>
        </w:tabs>
        <w:rPr>
          <w:rFonts w:ascii="Arial" w:eastAsia="Arial" w:hAnsi="Arial" w:cs="Arial"/>
          <w:sz w:val="22"/>
          <w:szCs w:val="22"/>
        </w:rPr>
      </w:pPr>
    </w:p>
    <w:p w14:paraId="727F80FD" w14:textId="77777777" w:rsidR="00DE50EA" w:rsidRDefault="0024265D">
      <w:pPr>
        <w:tabs>
          <w:tab w:val="left" w:pos="2135"/>
        </w:tabs>
        <w:rPr>
          <w:rFonts w:ascii="Arial" w:eastAsia="Arial" w:hAnsi="Arial" w:cs="Arial"/>
          <w:sz w:val="22"/>
          <w:szCs w:val="22"/>
        </w:rPr>
      </w:pPr>
      <w:r>
        <w:rPr>
          <w:rFonts w:ascii="Google Sans;Roboto;RobotoDraft;" w:eastAsia="Arial" w:hAnsi="Google Sans;Roboto;RobotoDraft;" w:cs="Arial"/>
          <w:color w:val="202124"/>
          <w:sz w:val="33"/>
          <w:szCs w:val="22"/>
        </w:rPr>
        <w:t xml:space="preserve">Excepciones Condiciones de Participación del </w:t>
      </w:r>
      <w:proofErr w:type="gramStart"/>
      <w:r>
        <w:rPr>
          <w:rFonts w:ascii="Google Sans;Roboto;RobotoDraft;" w:eastAsia="Arial" w:hAnsi="Google Sans;Roboto;RobotoDraft;" w:cs="Arial"/>
          <w:color w:val="202124"/>
          <w:sz w:val="33"/>
          <w:szCs w:val="22"/>
        </w:rPr>
        <w:t>PDE</w:t>
      </w:r>
      <w:r>
        <w:rPr>
          <w:rFonts w:ascii="Arial" w:eastAsia="Arial" w:hAnsi="Arial" w:cs="Arial"/>
          <w:sz w:val="22"/>
          <w:szCs w:val="22"/>
        </w:rPr>
        <w:t xml:space="preserve"> :</w:t>
      </w:r>
      <w:proofErr w:type="gramEnd"/>
    </w:p>
    <w:p w14:paraId="20846D90" w14:textId="77777777" w:rsidR="00DE50EA" w:rsidRDefault="0024265D">
      <w:pPr>
        <w:tabs>
          <w:tab w:val="left" w:pos="2135"/>
        </w:tabs>
        <w:rPr>
          <w:rFonts w:ascii="Arial" w:eastAsia="Arial" w:hAnsi="Arial" w:cs="Arial"/>
          <w:sz w:val="22"/>
          <w:szCs w:val="22"/>
        </w:rPr>
      </w:pPr>
      <w:r>
        <w:rPr>
          <w:rFonts w:ascii="Arial" w:eastAsia="Arial" w:hAnsi="Arial" w:cs="Arial"/>
          <w:sz w:val="22"/>
          <w:szCs w:val="22"/>
        </w:rPr>
        <w:br/>
      </w:r>
      <w:r>
        <w:rPr>
          <w:rFonts w:ascii="Arial;Helvetica;sans-serif" w:eastAsia="Arial" w:hAnsi="Arial;Helvetica;sans-serif" w:cs="Arial"/>
          <w:color w:val="222222"/>
          <w:szCs w:val="22"/>
        </w:rPr>
        <w:t>La necesidad se resume en dos puntos:</w:t>
      </w:r>
    </w:p>
    <w:p w14:paraId="136BE656" w14:textId="77777777" w:rsidR="00DE50EA" w:rsidRDefault="00DE50EA">
      <w:pPr>
        <w:tabs>
          <w:tab w:val="left" w:pos="2135"/>
        </w:tabs>
        <w:rPr>
          <w:rFonts w:ascii="Arial;Helvetica;sans-serif" w:hAnsi="Arial;Helvetica;sans-serif"/>
          <w:color w:val="222222"/>
        </w:rPr>
      </w:pPr>
    </w:p>
    <w:p w14:paraId="2D702D7C" w14:textId="77777777" w:rsidR="00DE50EA" w:rsidRDefault="0024265D">
      <w:pPr>
        <w:pStyle w:val="BodyText"/>
        <w:numPr>
          <w:ilvl w:val="0"/>
          <w:numId w:val="1"/>
        </w:numPr>
        <w:tabs>
          <w:tab w:val="clear" w:pos="707"/>
          <w:tab w:val="left" w:pos="0"/>
        </w:tabs>
        <w:spacing w:after="0"/>
        <w:ind w:left="932"/>
        <w:rPr>
          <w:rFonts w:ascii="Arial;Helvetica;sans-serif" w:hAnsi="Arial;Helvetica;sans-serif"/>
          <w:color w:val="222222"/>
        </w:rPr>
      </w:pPr>
      <w:r>
        <w:rPr>
          <w:rFonts w:ascii="Arial;Helvetica;sans-serif" w:hAnsi="Arial;Helvetica;sans-serif"/>
          <w:color w:val="222222"/>
        </w:rPr>
        <w:t>Los recursos de los 5 Fondos de Desarrollo Local que suscribieron convenios interadministrativos con la SCRD en el 2020 se incorporaron hasta mayo del año en curso. Lo que implica que la oferta de las convocatorias de los FDL se suma en el segundo semestre</w:t>
      </w:r>
      <w:r>
        <w:rPr>
          <w:rFonts w:ascii="Arial;Helvetica;sans-serif" w:hAnsi="Arial;Helvetica;sans-serif"/>
          <w:color w:val="222222"/>
        </w:rPr>
        <w:t xml:space="preserve"> a la de la Fase II del PDE. </w:t>
      </w:r>
      <w:r>
        <w:rPr>
          <w:rFonts w:ascii="Arial;Helvetica;sans-serif" w:hAnsi="Arial;Helvetica;sans-serif"/>
          <w:i/>
          <w:iCs/>
          <w:color w:val="222222"/>
          <w:u w:val="single"/>
        </w:rPr>
        <w:t>Esta coyuntura hace que soliciten que la restricción del número de estímulos no les aplique, al resultar perjudicial para los procesos locales que se busca apoyar con estos recursos de la vigencia 2020.</w:t>
      </w:r>
    </w:p>
    <w:p w14:paraId="438DC962" w14:textId="77777777" w:rsidR="00DE50EA" w:rsidRDefault="00DE50EA">
      <w:pPr>
        <w:pStyle w:val="BodyText"/>
        <w:spacing w:after="0"/>
        <w:ind w:left="225"/>
        <w:rPr>
          <w:rFonts w:ascii="Arial;Helvetica;sans-serif" w:hAnsi="Arial;Helvetica;sans-serif"/>
          <w:color w:val="222222"/>
        </w:rPr>
      </w:pPr>
    </w:p>
    <w:p w14:paraId="31739E8D" w14:textId="77777777" w:rsidR="00DE50EA" w:rsidRDefault="0024265D">
      <w:pPr>
        <w:pStyle w:val="BodyText"/>
        <w:numPr>
          <w:ilvl w:val="0"/>
          <w:numId w:val="1"/>
        </w:numPr>
        <w:tabs>
          <w:tab w:val="clear" w:pos="707"/>
          <w:tab w:val="left" w:pos="0"/>
        </w:tabs>
        <w:ind w:left="932"/>
        <w:rPr>
          <w:rFonts w:ascii="Arial;Helvetica;sans-serif" w:hAnsi="Arial;Helvetica;sans-serif"/>
          <w:color w:val="222222"/>
        </w:rPr>
      </w:pPr>
      <w:r>
        <w:rPr>
          <w:rFonts w:ascii="Arial;Helvetica;sans-serif" w:hAnsi="Arial;Helvetica;sans-serif"/>
          <w:color w:val="222222"/>
        </w:rPr>
        <w:t>En el mismo sentido, la</w:t>
      </w:r>
      <w:r>
        <w:rPr>
          <w:rFonts w:ascii="Arial;Helvetica;sans-serif" w:hAnsi="Arial;Helvetica;sans-serif"/>
          <w:color w:val="222222"/>
        </w:rPr>
        <w:t xml:space="preserve"> oferta de convocatorias de </w:t>
      </w:r>
      <w:r>
        <w:rPr>
          <w:rFonts w:ascii="Arial;Helvetica;sans-serif" w:hAnsi="Arial;Helvetica;sans-serif"/>
          <w:b/>
          <w:bCs/>
          <w:i/>
          <w:iCs/>
          <w:color w:val="222222"/>
        </w:rPr>
        <w:t>Es Cultura Local 2021</w:t>
      </w:r>
      <w:r>
        <w:rPr>
          <w:rFonts w:ascii="Arial;Helvetica;sans-serif" w:hAnsi="Arial;Helvetica;sans-serif"/>
          <w:color w:val="222222"/>
        </w:rPr>
        <w:t xml:space="preserve"> que se realizará en el segundo semestre de 2021 se vería afectada por la restricción de participación. </w:t>
      </w:r>
      <w:r>
        <w:rPr>
          <w:rFonts w:ascii="Arial;Helvetica;sans-serif" w:hAnsi="Arial;Helvetica;sans-serif"/>
          <w:i/>
          <w:iCs/>
          <w:color w:val="222222"/>
          <w:u w:val="single"/>
        </w:rPr>
        <w:t>Los fondos locales solicitan que se establezca una excepción frente a la posibilidad de ganar estímulos</w:t>
      </w:r>
      <w:r>
        <w:rPr>
          <w:rFonts w:ascii="Arial;Helvetica;sans-serif" w:hAnsi="Arial;Helvetica;sans-serif"/>
          <w:i/>
          <w:iCs/>
          <w:color w:val="222222"/>
          <w:u w:val="single"/>
        </w:rPr>
        <w:t xml:space="preserve"> en la misma vigencia con los recursos locales, para incentivar la participación de las localidades en las convocatorias que se ofertarán.</w:t>
      </w:r>
    </w:p>
    <w:p w14:paraId="3B965AEB" w14:textId="77777777" w:rsidR="00DE50EA" w:rsidRDefault="00DE50EA">
      <w:pPr>
        <w:tabs>
          <w:tab w:val="left" w:pos="2135"/>
        </w:tabs>
      </w:pPr>
    </w:p>
    <w:sectPr w:rsidR="00DE50EA">
      <w:headerReference w:type="default" r:id="rId7"/>
      <w:footerReference w:type="default" r:id="rId8"/>
      <w:pgSz w:w="12240" w:h="15840"/>
      <w:pgMar w:top="964" w:right="1134" w:bottom="851" w:left="1134" w:header="567" w:footer="397"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139ACF" w14:textId="77777777" w:rsidR="0024265D" w:rsidRDefault="0024265D">
      <w:r>
        <w:separator/>
      </w:r>
    </w:p>
  </w:endnote>
  <w:endnote w:type="continuationSeparator" w:id="0">
    <w:p w14:paraId="64A82971" w14:textId="77777777" w:rsidR="0024265D" w:rsidRDefault="00242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oogle Sans;Roboto;RobotoDraft;">
    <w:altName w:val="Cambria"/>
    <w:panose1 w:val="00000000000000000000"/>
    <w:charset w:val="00"/>
    <w:family w:val="roman"/>
    <w:notTrueType/>
    <w:pitch w:val="default"/>
  </w:font>
  <w:font w:name="Arial;Helvetica;sans-serif">
    <w:altName w:val="Arial"/>
    <w:panose1 w:val="00000000000000000000"/>
    <w:charset w:val="00"/>
    <w:family w:val="roman"/>
    <w:notTrueType/>
    <w:pitch w:val="default"/>
  </w:font>
  <w:font w:name="Code3of9">
    <w:altName w:val="Calibri"/>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E62F7" w14:textId="77777777" w:rsidR="00DE50EA" w:rsidRDefault="0024265D">
    <w:pPr>
      <w:tabs>
        <w:tab w:val="center" w:pos="4419"/>
        <w:tab w:val="right" w:pos="8838"/>
      </w:tabs>
      <w:jc w:val="right"/>
      <w:rPr>
        <w:rFonts w:ascii="Arial" w:eastAsia="Arial" w:hAnsi="Arial" w:cs="Arial"/>
        <w:b/>
        <w:color w:val="FFFFFF"/>
        <w:sz w:val="10"/>
        <w:szCs w:val="10"/>
      </w:rPr>
    </w:pPr>
    <w:r>
      <w:rPr>
        <w:rFonts w:ascii="Arial" w:eastAsia="Arial" w:hAnsi="Arial" w:cs="Arial"/>
        <w:color w:val="000000"/>
        <w:sz w:val="10"/>
        <w:szCs w:val="10"/>
      </w:rPr>
      <w:t xml:space="preserve"> </w:t>
    </w:r>
  </w:p>
  <w:tbl>
    <w:tblPr>
      <w:tblStyle w:val="TableGrid"/>
      <w:tblW w:w="5000" w:type="pct"/>
      <w:tblLook w:val="04A0" w:firstRow="1" w:lastRow="0" w:firstColumn="1" w:lastColumn="0" w:noHBand="0" w:noVBand="1"/>
    </w:tblPr>
    <w:tblGrid>
      <w:gridCol w:w="3971"/>
      <w:gridCol w:w="1843"/>
      <w:gridCol w:w="2836"/>
      <w:gridCol w:w="1322"/>
    </w:tblGrid>
    <w:tr w:rsidR="00DE50EA" w14:paraId="45D9E8E5" w14:textId="77777777">
      <w:tc>
        <w:tcPr>
          <w:tcW w:w="3970" w:type="dxa"/>
          <w:tcBorders>
            <w:top w:val="nil"/>
            <w:left w:val="nil"/>
            <w:bottom w:val="nil"/>
            <w:right w:val="nil"/>
          </w:tcBorders>
          <w:shd w:val="clear" w:color="auto" w:fill="auto"/>
        </w:tcPr>
        <w:p w14:paraId="5517A2A7" w14:textId="77777777" w:rsidR="00DE50EA" w:rsidRDefault="0024265D">
          <w:pPr>
            <w:tabs>
              <w:tab w:val="center" w:pos="4419"/>
              <w:tab w:val="right" w:pos="8838"/>
            </w:tabs>
            <w:rPr>
              <w:color w:val="000000"/>
              <w:sz w:val="18"/>
              <w:szCs w:val="18"/>
            </w:rPr>
          </w:pPr>
          <w:proofErr w:type="spellStart"/>
          <w:r>
            <w:rPr>
              <w:color w:val="000000"/>
              <w:sz w:val="18"/>
              <w:szCs w:val="18"/>
            </w:rPr>
            <w:t>Cra</w:t>
          </w:r>
          <w:proofErr w:type="spellEnd"/>
          <w:r>
            <w:rPr>
              <w:color w:val="000000"/>
              <w:sz w:val="18"/>
              <w:szCs w:val="18"/>
            </w:rPr>
            <w:t xml:space="preserve">. 8ª No. 9 - 83 </w:t>
          </w:r>
          <w:r>
            <w:rPr>
              <w:color w:val="000000"/>
              <w:sz w:val="18"/>
              <w:szCs w:val="18"/>
            </w:rPr>
            <w:t>Centro</w:t>
          </w:r>
        </w:p>
        <w:p w14:paraId="06C7C381" w14:textId="77777777" w:rsidR="00DE50EA" w:rsidRDefault="0024265D">
          <w:pPr>
            <w:tabs>
              <w:tab w:val="center" w:pos="4419"/>
              <w:tab w:val="right" w:pos="8838"/>
            </w:tabs>
            <w:rPr>
              <w:color w:val="000000"/>
              <w:sz w:val="18"/>
              <w:szCs w:val="18"/>
            </w:rPr>
          </w:pPr>
          <w:r>
            <w:rPr>
              <w:color w:val="000000"/>
              <w:sz w:val="18"/>
              <w:szCs w:val="18"/>
            </w:rPr>
            <w:t>Tel. 3274850 - Información: Línea 195</w:t>
          </w:r>
        </w:p>
        <w:p w14:paraId="38A3CF61" w14:textId="77777777" w:rsidR="00DE50EA" w:rsidRDefault="0024265D">
          <w:pPr>
            <w:tabs>
              <w:tab w:val="center" w:pos="4419"/>
              <w:tab w:val="right" w:pos="8838"/>
            </w:tabs>
            <w:rPr>
              <w:color w:val="000000"/>
              <w:sz w:val="18"/>
              <w:szCs w:val="18"/>
            </w:rPr>
          </w:pPr>
          <w:r>
            <w:rPr>
              <w:color w:val="000000"/>
              <w:sz w:val="18"/>
              <w:szCs w:val="18"/>
            </w:rPr>
            <w:t>Código Postal: 111711</w:t>
          </w:r>
        </w:p>
        <w:p w14:paraId="7F5799D2" w14:textId="77777777" w:rsidR="00DE50EA" w:rsidRDefault="0024265D">
          <w:pPr>
            <w:tabs>
              <w:tab w:val="center" w:pos="4419"/>
              <w:tab w:val="right" w:pos="8838"/>
            </w:tabs>
          </w:pPr>
          <w:hyperlink r:id="rId1">
            <w:r>
              <w:rPr>
                <w:rStyle w:val="EnlacedeInternet"/>
                <w:sz w:val="18"/>
                <w:szCs w:val="18"/>
              </w:rPr>
              <w:t>www.culturarecreacionydeporte.gov.co</w:t>
            </w:r>
          </w:hyperlink>
        </w:p>
      </w:tc>
      <w:tc>
        <w:tcPr>
          <w:tcW w:w="1843" w:type="dxa"/>
          <w:tcBorders>
            <w:top w:val="nil"/>
            <w:left w:val="nil"/>
            <w:bottom w:val="nil"/>
            <w:right w:val="nil"/>
          </w:tcBorders>
          <w:shd w:val="clear" w:color="auto" w:fill="auto"/>
        </w:tcPr>
        <w:p w14:paraId="5EB50878" w14:textId="77777777" w:rsidR="00DE50EA" w:rsidRDefault="0024265D">
          <w:pPr>
            <w:rPr>
              <w:sz w:val="18"/>
              <w:szCs w:val="18"/>
            </w:rPr>
          </w:pPr>
          <w:r>
            <w:rPr>
              <w:noProof/>
            </w:rPr>
            <w:drawing>
              <wp:inline distT="0" distB="0" distL="0" distR="0" wp14:anchorId="1D7E8AED" wp14:editId="1AA4760C">
                <wp:extent cx="669290" cy="637540"/>
                <wp:effectExtent l="0" t="0" r="0" b="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pic:cNvPicPr>
                          <a:picLocks noChangeAspect="1" noChangeArrowheads="1"/>
                        </pic:cNvPicPr>
                      </pic:nvPicPr>
                      <pic:blipFill>
                        <a:blip r:embed="rId2"/>
                        <a:stretch>
                          <a:fillRect/>
                        </a:stretch>
                      </pic:blipFill>
                      <pic:spPr bwMode="auto">
                        <a:xfrm>
                          <a:off x="0" y="0"/>
                          <a:ext cx="669290" cy="637540"/>
                        </a:xfrm>
                        <a:prstGeom prst="rect">
                          <a:avLst/>
                        </a:prstGeom>
                      </pic:spPr>
                    </pic:pic>
                  </a:graphicData>
                </a:graphic>
              </wp:inline>
            </w:drawing>
          </w:r>
        </w:p>
        <w:p w14:paraId="6212D51C" w14:textId="77777777" w:rsidR="00DE50EA" w:rsidRDefault="0024265D">
          <w:pPr>
            <w:rPr>
              <w:sz w:val="18"/>
              <w:szCs w:val="18"/>
            </w:rPr>
          </w:pPr>
          <w:r>
            <w:rPr>
              <w:color w:val="595959" w:themeColor="text1" w:themeTint="A6"/>
              <w:sz w:val="12"/>
              <w:szCs w:val="12"/>
            </w:rPr>
            <w:t xml:space="preserve">      CO18/8108</w:t>
          </w:r>
        </w:p>
      </w:tc>
      <w:tc>
        <w:tcPr>
          <w:tcW w:w="2836" w:type="dxa"/>
          <w:tcBorders>
            <w:top w:val="nil"/>
            <w:left w:val="nil"/>
            <w:bottom w:val="nil"/>
            <w:right w:val="nil"/>
          </w:tcBorders>
          <w:shd w:val="clear" w:color="auto" w:fill="auto"/>
        </w:tcPr>
        <w:p w14:paraId="07867422" w14:textId="77777777" w:rsidR="00DE50EA" w:rsidRDefault="0024265D">
          <w:pPr>
            <w:jc w:val="center"/>
          </w:pPr>
          <w:r>
            <w:rPr>
              <w:rFonts w:ascii="Arial" w:eastAsia="Arial" w:hAnsi="Arial" w:cs="Arial"/>
              <w:color w:val="000000"/>
              <w:sz w:val="14"/>
              <w:szCs w:val="14"/>
            </w:rPr>
            <w:t xml:space="preserve">Página </w:t>
          </w:r>
          <w:r>
            <w:rPr>
              <w:rFonts w:ascii="Arial" w:eastAsia="Arial" w:hAnsi="Arial" w:cs="Arial"/>
              <w:b/>
              <w:color w:val="000000"/>
              <w:sz w:val="14"/>
              <w:szCs w:val="14"/>
            </w:rPr>
            <w:fldChar w:fldCharType="begin"/>
          </w:r>
          <w:r>
            <w:rPr>
              <w:rFonts w:ascii="Arial" w:eastAsia="Arial" w:hAnsi="Arial" w:cs="Arial"/>
              <w:b/>
              <w:sz w:val="14"/>
              <w:szCs w:val="14"/>
            </w:rPr>
            <w:instrText>PAGE</w:instrText>
          </w:r>
          <w:r>
            <w:rPr>
              <w:rFonts w:ascii="Arial" w:eastAsia="Arial" w:hAnsi="Arial" w:cs="Arial"/>
              <w:b/>
              <w:sz w:val="14"/>
              <w:szCs w:val="14"/>
            </w:rPr>
            <w:fldChar w:fldCharType="separate"/>
          </w:r>
          <w:r>
            <w:rPr>
              <w:rFonts w:ascii="Arial" w:eastAsia="Arial" w:hAnsi="Arial" w:cs="Arial"/>
              <w:b/>
              <w:sz w:val="14"/>
              <w:szCs w:val="14"/>
            </w:rPr>
            <w:t>1</w:t>
          </w:r>
          <w:r>
            <w:rPr>
              <w:rFonts w:ascii="Arial" w:eastAsia="Arial" w:hAnsi="Arial" w:cs="Arial"/>
              <w:b/>
              <w:sz w:val="14"/>
              <w:szCs w:val="14"/>
            </w:rPr>
            <w:fldChar w:fldCharType="end"/>
          </w:r>
          <w:r>
            <w:rPr>
              <w:rFonts w:ascii="Arial" w:eastAsia="Arial" w:hAnsi="Arial" w:cs="Arial"/>
              <w:color w:val="000000"/>
              <w:sz w:val="14"/>
              <w:szCs w:val="14"/>
            </w:rPr>
            <w:t xml:space="preserve"> de </w:t>
          </w:r>
          <w:r>
            <w:rPr>
              <w:rFonts w:ascii="Arial" w:eastAsia="Arial" w:hAnsi="Arial" w:cs="Arial"/>
              <w:b/>
              <w:color w:val="000000"/>
              <w:sz w:val="14"/>
              <w:szCs w:val="14"/>
            </w:rPr>
            <w:fldChar w:fldCharType="begin"/>
          </w:r>
          <w:r>
            <w:rPr>
              <w:rFonts w:ascii="Arial" w:eastAsia="Arial" w:hAnsi="Arial" w:cs="Arial"/>
              <w:b/>
              <w:sz w:val="14"/>
              <w:szCs w:val="14"/>
            </w:rPr>
            <w:instrText>NUMPAGES</w:instrText>
          </w:r>
          <w:r>
            <w:rPr>
              <w:rFonts w:ascii="Arial" w:eastAsia="Arial" w:hAnsi="Arial" w:cs="Arial"/>
              <w:b/>
              <w:sz w:val="14"/>
              <w:szCs w:val="14"/>
            </w:rPr>
            <w:fldChar w:fldCharType="separate"/>
          </w:r>
          <w:r>
            <w:rPr>
              <w:rFonts w:ascii="Arial" w:eastAsia="Arial" w:hAnsi="Arial" w:cs="Arial"/>
              <w:b/>
              <w:sz w:val="14"/>
              <w:szCs w:val="14"/>
            </w:rPr>
            <w:t>1</w:t>
          </w:r>
          <w:r>
            <w:rPr>
              <w:rFonts w:ascii="Arial" w:eastAsia="Arial" w:hAnsi="Arial" w:cs="Arial"/>
              <w:b/>
              <w:sz w:val="14"/>
              <w:szCs w:val="14"/>
            </w:rPr>
            <w:fldChar w:fldCharType="end"/>
          </w:r>
        </w:p>
        <w:p w14:paraId="4C21F17A" w14:textId="77777777" w:rsidR="00DE50EA" w:rsidRDefault="0024265D">
          <w:pPr>
            <w:jc w:val="center"/>
            <w:rPr>
              <w:sz w:val="14"/>
              <w:szCs w:val="14"/>
            </w:rPr>
          </w:pPr>
          <w:r>
            <w:rPr>
              <w:rFonts w:ascii="Arial" w:hAnsi="Arial" w:cs="Arial"/>
              <w:sz w:val="14"/>
              <w:szCs w:val="14"/>
            </w:rPr>
            <w:t xml:space="preserve">FR-11-PR-MEJ-01. V7. </w:t>
          </w:r>
          <w:r>
            <w:rPr>
              <w:rFonts w:ascii="Arial" w:hAnsi="Arial" w:cs="Arial"/>
              <w:sz w:val="14"/>
              <w:szCs w:val="14"/>
            </w:rPr>
            <w:t>03/01/2020</w:t>
          </w:r>
        </w:p>
      </w:tc>
      <w:tc>
        <w:tcPr>
          <w:tcW w:w="1322" w:type="dxa"/>
          <w:tcBorders>
            <w:top w:val="nil"/>
            <w:left w:val="nil"/>
            <w:bottom w:val="nil"/>
            <w:right w:val="nil"/>
          </w:tcBorders>
          <w:shd w:val="clear" w:color="auto" w:fill="auto"/>
        </w:tcPr>
        <w:p w14:paraId="4D39A6D8" w14:textId="77777777" w:rsidR="00DE50EA" w:rsidRDefault="0024265D">
          <w:pPr>
            <w:tabs>
              <w:tab w:val="center" w:pos="4419"/>
              <w:tab w:val="right" w:pos="8838"/>
            </w:tabs>
            <w:jc w:val="center"/>
            <w:rPr>
              <w:color w:val="000000"/>
            </w:rPr>
          </w:pPr>
          <w:r>
            <w:rPr>
              <w:noProof/>
            </w:rPr>
            <w:drawing>
              <wp:inline distT="0" distB="0" distL="0" distR="0" wp14:anchorId="32517CEE" wp14:editId="7B3296BE">
                <wp:extent cx="422275" cy="504190"/>
                <wp:effectExtent l="0" t="0" r="0" b="0"/>
                <wp:docPr id="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5"/>
                        <pic:cNvPicPr>
                          <a:picLocks noChangeAspect="1" noChangeArrowheads="1"/>
                        </pic:cNvPicPr>
                      </pic:nvPicPr>
                      <pic:blipFill>
                        <a:blip r:embed="rId3"/>
                        <a:stretch>
                          <a:fillRect/>
                        </a:stretch>
                      </pic:blipFill>
                      <pic:spPr bwMode="auto">
                        <a:xfrm>
                          <a:off x="0" y="0"/>
                          <a:ext cx="422275" cy="504190"/>
                        </a:xfrm>
                        <a:prstGeom prst="rect">
                          <a:avLst/>
                        </a:prstGeom>
                      </pic:spPr>
                    </pic:pic>
                  </a:graphicData>
                </a:graphic>
              </wp:inline>
            </w:drawing>
          </w:r>
        </w:p>
        <w:p w14:paraId="37C277EC" w14:textId="77777777" w:rsidR="00DE50EA" w:rsidRDefault="0024265D">
          <w:pPr>
            <w:tabs>
              <w:tab w:val="center" w:pos="4419"/>
              <w:tab w:val="right" w:pos="8838"/>
            </w:tabs>
            <w:jc w:val="center"/>
            <w:rPr>
              <w:color w:val="000000"/>
              <w:sz w:val="12"/>
              <w:szCs w:val="12"/>
            </w:rPr>
          </w:pPr>
          <w:r>
            <w:rPr>
              <w:color w:val="000000"/>
              <w:sz w:val="12"/>
              <w:szCs w:val="12"/>
            </w:rPr>
            <w:t>ALCALDÍA MAYOR</w:t>
          </w:r>
        </w:p>
        <w:p w14:paraId="3A7F6F34" w14:textId="77777777" w:rsidR="00DE50EA" w:rsidRDefault="0024265D">
          <w:pPr>
            <w:tabs>
              <w:tab w:val="center" w:pos="4419"/>
              <w:tab w:val="right" w:pos="8838"/>
            </w:tabs>
            <w:jc w:val="center"/>
            <w:rPr>
              <w:color w:val="000000"/>
            </w:rPr>
          </w:pPr>
          <w:r>
            <w:rPr>
              <w:color w:val="000000"/>
              <w:sz w:val="12"/>
              <w:szCs w:val="12"/>
            </w:rPr>
            <w:t>DE BOGOTÁ D.C.</w:t>
          </w:r>
        </w:p>
      </w:tc>
    </w:tr>
  </w:tbl>
  <w:p w14:paraId="53C86C36" w14:textId="77777777" w:rsidR="00DE50EA" w:rsidRDefault="00DE50EA">
    <w:pPr>
      <w:tabs>
        <w:tab w:val="center" w:pos="4419"/>
        <w:tab w:val="right" w:pos="8838"/>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19ACC" w14:textId="77777777" w:rsidR="0024265D" w:rsidRDefault="0024265D">
      <w:r>
        <w:separator/>
      </w:r>
    </w:p>
  </w:footnote>
  <w:footnote w:type="continuationSeparator" w:id="0">
    <w:p w14:paraId="6FEEA157" w14:textId="77777777" w:rsidR="0024265D" w:rsidRDefault="00242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00" w:firstRow="0" w:lastRow="0" w:firstColumn="0" w:lastColumn="0" w:noHBand="0" w:noVBand="1"/>
    </w:tblPr>
    <w:tblGrid>
      <w:gridCol w:w="1916"/>
      <w:gridCol w:w="4964"/>
      <w:gridCol w:w="3092"/>
    </w:tblGrid>
    <w:tr w:rsidR="00DE50EA" w14:paraId="42E8BC40" w14:textId="77777777">
      <w:tc>
        <w:tcPr>
          <w:tcW w:w="1916" w:type="dxa"/>
          <w:shd w:val="clear" w:color="auto" w:fill="auto"/>
          <w:vAlign w:val="center"/>
        </w:tcPr>
        <w:p w14:paraId="1B7B7A40" w14:textId="77777777" w:rsidR="00DE50EA" w:rsidRDefault="00DE50EA">
          <w:pPr>
            <w:tabs>
              <w:tab w:val="center" w:pos="4419"/>
              <w:tab w:val="right" w:pos="8838"/>
            </w:tabs>
            <w:jc w:val="center"/>
            <w:rPr>
              <w:color w:val="000000"/>
            </w:rPr>
          </w:pPr>
        </w:p>
      </w:tc>
      <w:tc>
        <w:tcPr>
          <w:tcW w:w="4964" w:type="dxa"/>
          <w:shd w:val="clear" w:color="auto" w:fill="auto"/>
          <w:vAlign w:val="center"/>
        </w:tcPr>
        <w:p w14:paraId="6B0D9BAD" w14:textId="77777777" w:rsidR="00DE50EA" w:rsidRDefault="0024265D">
          <w:pPr>
            <w:tabs>
              <w:tab w:val="center" w:pos="4419"/>
              <w:tab w:val="right" w:pos="8838"/>
            </w:tabs>
            <w:jc w:val="right"/>
            <w:rPr>
              <w:color w:val="000000"/>
            </w:rPr>
          </w:pPr>
          <w:r>
            <w:rPr>
              <w:noProof/>
            </w:rPr>
            <w:drawing>
              <wp:inline distT="0" distB="0" distL="0" distR="0" wp14:anchorId="166D384F" wp14:editId="7715E1A6">
                <wp:extent cx="2677160" cy="615315"/>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noChangeArrowheads="1"/>
                        </pic:cNvPicPr>
                      </pic:nvPicPr>
                      <pic:blipFill>
                        <a:blip r:embed="rId1"/>
                        <a:stretch>
                          <a:fillRect/>
                        </a:stretch>
                      </pic:blipFill>
                      <pic:spPr bwMode="auto">
                        <a:xfrm>
                          <a:off x="0" y="0"/>
                          <a:ext cx="2677160" cy="615315"/>
                        </a:xfrm>
                        <a:prstGeom prst="rect">
                          <a:avLst/>
                        </a:prstGeom>
                      </pic:spPr>
                    </pic:pic>
                  </a:graphicData>
                </a:graphic>
              </wp:inline>
            </w:drawing>
          </w:r>
        </w:p>
      </w:tc>
      <w:tc>
        <w:tcPr>
          <w:tcW w:w="3092" w:type="dxa"/>
          <w:shd w:val="clear" w:color="auto" w:fill="auto"/>
          <w:vAlign w:val="center"/>
        </w:tcPr>
        <w:p w14:paraId="041A1F0F" w14:textId="77777777" w:rsidR="00DE50EA" w:rsidRDefault="0024265D">
          <w:pPr>
            <w:tabs>
              <w:tab w:val="left" w:pos="1485"/>
            </w:tabs>
            <w:jc w:val="right"/>
            <w:rPr>
              <w:rFonts w:ascii="Code3of9" w:eastAsia="Code3of9" w:hAnsi="Code3of9" w:cs="Code3of9"/>
              <w:sz w:val="28"/>
              <w:szCs w:val="28"/>
            </w:rPr>
          </w:pPr>
          <w:r>
            <w:rPr>
              <w:rFonts w:ascii="Code3of9" w:eastAsia="Code3of9" w:hAnsi="Code3of9" w:cs="Code3of9"/>
              <w:sz w:val="28"/>
              <w:szCs w:val="28"/>
            </w:rPr>
            <w:t>*RAD_S*</w:t>
          </w:r>
        </w:p>
        <w:p w14:paraId="79262271" w14:textId="77777777" w:rsidR="00DE50EA" w:rsidRDefault="0024265D">
          <w:pPr>
            <w:tabs>
              <w:tab w:val="left" w:pos="1485"/>
            </w:tabs>
            <w:jc w:val="right"/>
            <w:rPr>
              <w:rFonts w:ascii="Arial" w:eastAsia="Arial" w:hAnsi="Arial" w:cs="Arial"/>
              <w:bCs/>
              <w:sz w:val="12"/>
              <w:szCs w:val="12"/>
            </w:rPr>
          </w:pPr>
          <w:r>
            <w:rPr>
              <w:rFonts w:ascii="Arial" w:eastAsia="Arial" w:hAnsi="Arial" w:cs="Arial"/>
              <w:bCs/>
              <w:sz w:val="12"/>
              <w:szCs w:val="12"/>
            </w:rPr>
            <w:t>Al contestar, citar el número:</w:t>
          </w:r>
        </w:p>
        <w:p w14:paraId="47043865" w14:textId="77777777" w:rsidR="00DE50EA" w:rsidRDefault="0024265D">
          <w:pPr>
            <w:tabs>
              <w:tab w:val="left" w:pos="1485"/>
            </w:tabs>
            <w:jc w:val="right"/>
            <w:rPr>
              <w:rFonts w:ascii="Arial" w:eastAsia="Arial" w:hAnsi="Arial" w:cs="Arial"/>
              <w:b/>
            </w:rPr>
          </w:pPr>
          <w:r>
            <w:rPr>
              <w:rFonts w:ascii="Arial" w:eastAsia="Arial" w:hAnsi="Arial" w:cs="Arial"/>
              <w:sz w:val="16"/>
              <w:szCs w:val="16"/>
            </w:rPr>
            <w:t>Radicado:</w:t>
          </w:r>
          <w:r>
            <w:rPr>
              <w:rFonts w:ascii="Arial" w:eastAsia="Arial" w:hAnsi="Arial" w:cs="Arial"/>
            </w:rPr>
            <w:t xml:space="preserve"> </w:t>
          </w:r>
          <w:r>
            <w:rPr>
              <w:rFonts w:ascii="Arial" w:eastAsia="Arial" w:hAnsi="Arial" w:cs="Arial"/>
              <w:b/>
            </w:rPr>
            <w:t>RAD_S</w:t>
          </w:r>
        </w:p>
        <w:p w14:paraId="07F45189" w14:textId="77777777" w:rsidR="00DE50EA" w:rsidRDefault="0024265D">
          <w:pPr>
            <w:tabs>
              <w:tab w:val="left" w:pos="1485"/>
            </w:tabs>
            <w:jc w:val="right"/>
            <w:rPr>
              <w:rFonts w:ascii="Arial" w:eastAsia="Arial" w:hAnsi="Arial" w:cs="Arial"/>
            </w:rPr>
          </w:pPr>
          <w:r>
            <w:rPr>
              <w:rFonts w:ascii="Arial" w:eastAsia="Arial" w:hAnsi="Arial" w:cs="Arial"/>
              <w:sz w:val="16"/>
              <w:szCs w:val="16"/>
            </w:rPr>
            <w:t>Fecha:</w:t>
          </w:r>
          <w:r>
            <w:rPr>
              <w:rFonts w:ascii="Arial" w:eastAsia="Arial" w:hAnsi="Arial" w:cs="Arial"/>
            </w:rPr>
            <w:t xml:space="preserve"> F_RAD_S</w:t>
          </w:r>
        </w:p>
      </w:tc>
    </w:tr>
  </w:tbl>
  <w:p w14:paraId="758AC807" w14:textId="77777777" w:rsidR="00DE50EA" w:rsidRDefault="00DE50EA">
    <w:pPr>
      <w:tabs>
        <w:tab w:val="center" w:pos="4419"/>
        <w:tab w:val="right" w:pos="8838"/>
      </w:tabs>
      <w:jc w:val="center"/>
      <w:rPr>
        <w:rFonts w:ascii="Arial" w:eastAsia="Arial" w:hAnsi="Arial" w:cs="Arial"/>
        <w:color w:val="000000"/>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9F5C6A"/>
    <w:multiLevelType w:val="multilevel"/>
    <w:tmpl w:val="367CB2A4"/>
    <w:lvl w:ilvl="0">
      <w:start w:val="1"/>
      <w:numFmt w:val="bullet"/>
      <w:suff w:val="nothing"/>
      <w:lvlText w:val=""/>
      <w:lvlJc w:val="left"/>
      <w:pPr>
        <w:tabs>
          <w:tab w:val="num" w:pos="707"/>
        </w:tabs>
        <w:ind w:left="707" w:firstLine="0"/>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 w15:restartNumberingAfterBreak="0">
    <w:nsid w:val="57924596"/>
    <w:multiLevelType w:val="multilevel"/>
    <w:tmpl w:val="BDE48AA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0EA"/>
    <w:rsid w:val="0024265D"/>
    <w:rsid w:val="00546316"/>
    <w:rsid w:val="00613F92"/>
    <w:rsid w:val="00DE50EA"/>
  </w:rsids>
  <m:mathPr>
    <m:mathFont m:val="Cambria Math"/>
    <m:brkBin m:val="before"/>
    <m:brkBinSub m:val="--"/>
    <m:smallFrac m:val="0"/>
    <m:dispDef/>
    <m:lMargin m:val="0"/>
    <m:rMargin m:val="0"/>
    <m:defJc m:val="centerGroup"/>
    <m:wrapIndent m:val="1440"/>
    <m:intLim m:val="subSup"/>
    <m:naryLim m:val="undOvr"/>
  </m:mathPr>
  <w:themeFontLang w:val="es-C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B44EE"/>
  <w15:docId w15:val="{5E59DFC1-3F4C-45E9-AAFB-67FE9816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s-C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34D5B"/>
  </w:style>
  <w:style w:type="character" w:customStyle="1" w:styleId="FooterChar">
    <w:name w:val="Footer Char"/>
    <w:basedOn w:val="DefaultParagraphFont"/>
    <w:link w:val="Footer"/>
    <w:uiPriority w:val="99"/>
    <w:qFormat/>
    <w:rsid w:val="00834D5B"/>
  </w:style>
  <w:style w:type="character" w:customStyle="1" w:styleId="EnlacedeInternet">
    <w:name w:val="Enlace de Internet"/>
    <w:basedOn w:val="DefaultParagraphFont"/>
    <w:uiPriority w:val="99"/>
    <w:unhideWhenUsed/>
    <w:rsid w:val="0085196F"/>
    <w:rPr>
      <w:color w:val="0000FF" w:themeColor="hyperlink"/>
      <w:u w:val="single"/>
    </w:rPr>
  </w:style>
  <w:style w:type="character" w:styleId="FollowedHyperlink">
    <w:name w:val="FollowedHyperlink"/>
    <w:basedOn w:val="DefaultParagraphFont"/>
    <w:uiPriority w:val="99"/>
    <w:semiHidden/>
    <w:unhideWhenUsed/>
    <w:qFormat/>
    <w:rsid w:val="0085196F"/>
    <w:rPr>
      <w:color w:val="800080" w:themeColor="followedHyperlink"/>
      <w:u w:val="single"/>
    </w:rPr>
  </w:style>
  <w:style w:type="character" w:customStyle="1" w:styleId="Vietas">
    <w:name w:val="Viñetas"/>
    <w:qFormat/>
    <w:rPr>
      <w:rFonts w:ascii="OpenSymbol" w:eastAsia="OpenSymbol" w:hAnsi="OpenSymbol" w:cs="OpenSymbol"/>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Cabeceraypie">
    <w:name w:val="Cabecera y pie"/>
    <w:basedOn w:val="Normal"/>
    <w:qFormat/>
  </w:style>
  <w:style w:type="paragraph" w:styleId="Header">
    <w:name w:val="header"/>
    <w:basedOn w:val="Normal"/>
    <w:link w:val="HeaderChar"/>
    <w:uiPriority w:val="99"/>
    <w:unhideWhenUsed/>
    <w:rsid w:val="00834D5B"/>
    <w:pPr>
      <w:tabs>
        <w:tab w:val="center" w:pos="4419"/>
        <w:tab w:val="right" w:pos="8838"/>
      </w:tabs>
    </w:pPr>
  </w:style>
  <w:style w:type="paragraph" w:styleId="Footer">
    <w:name w:val="footer"/>
    <w:basedOn w:val="Normal"/>
    <w:link w:val="FooterChar"/>
    <w:uiPriority w:val="99"/>
    <w:unhideWhenUsed/>
    <w:rsid w:val="00834D5B"/>
    <w:pPr>
      <w:tabs>
        <w:tab w:val="center" w:pos="4419"/>
        <w:tab w:val="right" w:pos="8838"/>
      </w:tabs>
    </w:pPr>
  </w:style>
  <w:style w:type="table" w:customStyle="1" w:styleId="TableNormal1">
    <w:name w:val="Table Normal1"/>
    <w:tblPr>
      <w:tblCellMar>
        <w:top w:w="0" w:type="dxa"/>
        <w:left w:w="0" w:type="dxa"/>
        <w:bottom w:w="0" w:type="dxa"/>
        <w:right w:w="0" w:type="dxa"/>
      </w:tblCellMar>
    </w:tblPr>
  </w:style>
  <w:style w:type="table" w:styleId="TableGrid">
    <w:name w:val="Table Grid"/>
    <w:basedOn w:val="TableNormal"/>
    <w:uiPriority w:val="39"/>
    <w:rsid w:val="00851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www.culturarecreacionydeporte.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847</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Cendales</dc:creator>
  <dc:description/>
  <cp:lastModifiedBy>Johanna Cendales</cp:lastModifiedBy>
  <cp:revision>2</cp:revision>
  <dcterms:created xsi:type="dcterms:W3CDTF">2021-06-22T00:43:00Z</dcterms:created>
  <dcterms:modified xsi:type="dcterms:W3CDTF">2021-06-22T00:43:00Z</dcterms:modified>
  <dc:language>es-CO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